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C50" w:rsidRDefault="00A12C50" w:rsidP="00A12C50">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12C50" w:rsidRDefault="00A12C50" w:rsidP="00A12C50">
      <w:pPr>
        <w:jc w:val="center"/>
        <w:rPr>
          <w:rFonts w:ascii="Arial" w:hAnsi="Arial"/>
        </w:rPr>
      </w:pPr>
      <w:r>
        <w:rPr>
          <w:rFonts w:ascii="Arial" w:hAnsi="Arial"/>
        </w:rPr>
        <w:t>Australian Capital Territory</w:t>
      </w:r>
    </w:p>
    <w:p w:rsidR="00A12C50" w:rsidRDefault="00CF7DD8" w:rsidP="00A12C50">
      <w:pPr>
        <w:pStyle w:val="Billname1"/>
      </w:pPr>
      <w:r>
        <w:fldChar w:fldCharType="begin"/>
      </w:r>
      <w:r>
        <w:instrText xml:space="preserve"> REF Citation \*charformat </w:instrText>
      </w:r>
      <w:r>
        <w:fldChar w:fldCharType="separate"/>
      </w:r>
      <w:r w:rsidR="00FF3523">
        <w:t>Gaming Machine Regulation 2004</w:t>
      </w:r>
      <w:r>
        <w:fldChar w:fldCharType="end"/>
      </w:r>
      <w:r w:rsidR="00A12C50">
        <w:t xml:space="preserve">    </w:t>
      </w:r>
    </w:p>
    <w:p w:rsidR="00A12C50" w:rsidRDefault="008070C0" w:rsidP="00A12C50">
      <w:pPr>
        <w:pStyle w:val="ActNo"/>
      </w:pPr>
      <w:bookmarkStart w:id="1" w:name="LawNo"/>
      <w:r>
        <w:t>SL2004-30</w:t>
      </w:r>
      <w:bookmarkEnd w:id="1"/>
    </w:p>
    <w:p w:rsidR="00A12C50" w:rsidRDefault="00A12C50" w:rsidP="00A12C50">
      <w:pPr>
        <w:pStyle w:val="CoverInForce"/>
      </w:pPr>
      <w:r>
        <w:t>made under the</w:t>
      </w:r>
    </w:p>
    <w:p w:rsidR="00A12C50" w:rsidRDefault="00CF7DD8" w:rsidP="00A12C50">
      <w:pPr>
        <w:pStyle w:val="CoverActName"/>
      </w:pPr>
      <w:r>
        <w:fldChar w:fldCharType="begin"/>
      </w:r>
      <w:r>
        <w:instrText xml:space="preserve"> REF ActName \*charformat </w:instrText>
      </w:r>
      <w:r>
        <w:fldChar w:fldCharType="separate"/>
      </w:r>
      <w:r w:rsidR="00FF3523" w:rsidRPr="00FF3523">
        <w:t>Gaming Machine Act 2004</w:t>
      </w:r>
      <w:r>
        <w:fldChar w:fldCharType="end"/>
      </w:r>
    </w:p>
    <w:p w:rsidR="00A12C50" w:rsidRDefault="00A12C50" w:rsidP="00A12C50">
      <w:pPr>
        <w:pStyle w:val="RepubNo"/>
      </w:pPr>
      <w:r>
        <w:t xml:space="preserve">Republication No </w:t>
      </w:r>
      <w:bookmarkStart w:id="2" w:name="RepubNo"/>
      <w:r w:rsidR="008070C0">
        <w:t>17</w:t>
      </w:r>
      <w:bookmarkEnd w:id="2"/>
    </w:p>
    <w:p w:rsidR="00A12C50" w:rsidRDefault="00A12C50" w:rsidP="00A12C50">
      <w:pPr>
        <w:pStyle w:val="EffectiveDate"/>
      </w:pPr>
      <w:r>
        <w:t xml:space="preserve">Effective:  </w:t>
      </w:r>
      <w:bookmarkStart w:id="3" w:name="EffectiveDate"/>
      <w:r w:rsidR="008070C0">
        <w:t>11 December 2018</w:t>
      </w:r>
      <w:bookmarkEnd w:id="3"/>
      <w:r w:rsidR="008070C0">
        <w:t xml:space="preserve"> – </w:t>
      </w:r>
      <w:bookmarkStart w:id="4" w:name="EndEffDate"/>
      <w:r w:rsidR="008070C0">
        <w:t>30 June 2019</w:t>
      </w:r>
      <w:bookmarkEnd w:id="4"/>
    </w:p>
    <w:p w:rsidR="00A12C50" w:rsidRDefault="00A12C50" w:rsidP="00A12C50">
      <w:pPr>
        <w:pStyle w:val="CoverInForce"/>
      </w:pPr>
      <w:r>
        <w:t xml:space="preserve">Republication date: </w:t>
      </w:r>
      <w:bookmarkStart w:id="5" w:name="InForceDate"/>
      <w:r w:rsidR="008070C0">
        <w:t>11 December 2018</w:t>
      </w:r>
      <w:bookmarkEnd w:id="5"/>
    </w:p>
    <w:p w:rsidR="00A12C50" w:rsidRPr="003D40DE" w:rsidRDefault="00A12C50" w:rsidP="00A12C50">
      <w:pPr>
        <w:pStyle w:val="CoverInForce"/>
      </w:pPr>
      <w:r>
        <w:t xml:space="preserve">Last amendment made by </w:t>
      </w:r>
      <w:bookmarkStart w:id="6" w:name="LastAmdt"/>
      <w:r w:rsidR="00F20944" w:rsidRPr="00A12C50">
        <w:rPr>
          <w:rStyle w:val="charCitHyperlinkAbbrev"/>
        </w:rPr>
        <w:fldChar w:fldCharType="begin"/>
      </w:r>
      <w:r w:rsidR="008070C0">
        <w:rPr>
          <w:rStyle w:val="charCitHyperlinkAbbrev"/>
        </w:rPr>
        <w:instrText>HYPERLINK "http://www.legislation.act.gov.au/a/2018-45/default.asp" \o "Gaming Legislation Amendment Act 2018"</w:instrText>
      </w:r>
      <w:r w:rsidR="00F20944" w:rsidRPr="00A12C50">
        <w:rPr>
          <w:rStyle w:val="charCitHyperlinkAbbrev"/>
        </w:rPr>
        <w:fldChar w:fldCharType="separate"/>
      </w:r>
      <w:r w:rsidR="008070C0">
        <w:rPr>
          <w:rStyle w:val="charCitHyperlinkAbbrev"/>
        </w:rPr>
        <w:t>A2018</w:t>
      </w:r>
      <w:r w:rsidR="008070C0">
        <w:rPr>
          <w:rStyle w:val="charCitHyperlinkAbbrev"/>
        </w:rPr>
        <w:noBreakHyphen/>
        <w:t>45</w:t>
      </w:r>
      <w:r w:rsidR="00F20944" w:rsidRPr="00A12C50">
        <w:rPr>
          <w:rStyle w:val="charCitHyperlinkAbbrev"/>
        </w:rPr>
        <w:fldChar w:fldCharType="end"/>
      </w:r>
      <w:bookmarkEnd w:id="6"/>
    </w:p>
    <w:p w:rsidR="00A12C50" w:rsidRDefault="00A12C50" w:rsidP="00A12C50"/>
    <w:p w:rsidR="00A12C50" w:rsidRDefault="00A12C50" w:rsidP="00A12C50"/>
    <w:p w:rsidR="00A12C50" w:rsidRDefault="00A12C50" w:rsidP="00A12C50"/>
    <w:p w:rsidR="00A12C50" w:rsidRDefault="00A12C50" w:rsidP="00A12C50"/>
    <w:p w:rsidR="00A12C50" w:rsidRDefault="00A12C50" w:rsidP="00A12C50">
      <w:pPr>
        <w:spacing w:after="240"/>
        <w:rPr>
          <w:rFonts w:ascii="Arial" w:hAnsi="Arial"/>
        </w:rPr>
      </w:pPr>
    </w:p>
    <w:p w:rsidR="00A12C50" w:rsidRPr="00797332" w:rsidRDefault="00A12C50" w:rsidP="00A12C50">
      <w:pPr>
        <w:pStyle w:val="PageBreak"/>
      </w:pPr>
      <w:r w:rsidRPr="00797332">
        <w:br w:type="page"/>
      </w:r>
    </w:p>
    <w:p w:rsidR="00A12C50" w:rsidRDefault="00A12C50" w:rsidP="00A12C50">
      <w:pPr>
        <w:pStyle w:val="CoverHeading"/>
      </w:pPr>
      <w:r>
        <w:lastRenderedPageBreak/>
        <w:t>About this republication</w:t>
      </w:r>
    </w:p>
    <w:p w:rsidR="00A12C50" w:rsidRDefault="00A12C50" w:rsidP="00A12C50">
      <w:pPr>
        <w:pStyle w:val="CoverSubHdg"/>
      </w:pPr>
      <w:r>
        <w:t>The republished law</w:t>
      </w:r>
    </w:p>
    <w:p w:rsidR="00A12C50" w:rsidRDefault="00A12C50" w:rsidP="00A12C50">
      <w:pPr>
        <w:pStyle w:val="CoverText"/>
      </w:pPr>
      <w:r>
        <w:t xml:space="preserve">This is a republication of the </w:t>
      </w:r>
      <w:r w:rsidR="001B39F4" w:rsidRPr="008070C0">
        <w:rPr>
          <w:i/>
        </w:rPr>
        <w:fldChar w:fldCharType="begin"/>
      </w:r>
      <w:r w:rsidR="001B39F4" w:rsidRPr="008070C0">
        <w:rPr>
          <w:i/>
        </w:rPr>
        <w:instrText xml:space="preserve"> REF citation *\charformat  \* MERGEFORMAT </w:instrText>
      </w:r>
      <w:r w:rsidR="001B39F4" w:rsidRPr="008070C0">
        <w:rPr>
          <w:i/>
        </w:rPr>
        <w:fldChar w:fldCharType="separate"/>
      </w:r>
      <w:r w:rsidR="00FF3523" w:rsidRPr="00FF3523">
        <w:rPr>
          <w:i/>
        </w:rPr>
        <w:t>Gaming Machine Regulation 2004</w:t>
      </w:r>
      <w:r w:rsidR="001B39F4" w:rsidRPr="008070C0">
        <w:rPr>
          <w:i/>
        </w:rPr>
        <w:fldChar w:fldCharType="end"/>
      </w:r>
      <w:r>
        <w:rPr>
          <w:iCs/>
        </w:rPr>
        <w:t>,</w:t>
      </w:r>
      <w:r>
        <w:t xml:space="preserve"> made under the </w:t>
      </w:r>
      <w:r w:rsidR="00F20944" w:rsidRPr="008070C0">
        <w:rPr>
          <w:i/>
        </w:rPr>
        <w:fldChar w:fldCharType="begin"/>
      </w:r>
      <w:r w:rsidRPr="008070C0">
        <w:rPr>
          <w:i/>
        </w:rPr>
        <w:instrText xml:space="preserve"> REF ActName \*charformat  \* MERGEFORMAT </w:instrText>
      </w:r>
      <w:r w:rsidR="00F20944" w:rsidRPr="008070C0">
        <w:rPr>
          <w:i/>
        </w:rPr>
        <w:fldChar w:fldCharType="separate"/>
      </w:r>
      <w:r w:rsidR="00FF3523" w:rsidRPr="00FF3523">
        <w:rPr>
          <w:i/>
        </w:rPr>
        <w:t>Gaming Machine Act 2004</w:t>
      </w:r>
      <w:r w:rsidR="00F20944" w:rsidRPr="008070C0">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CF7DD8">
        <w:fldChar w:fldCharType="begin"/>
      </w:r>
      <w:r w:rsidR="00CF7DD8">
        <w:instrText xml:space="preserve"> REF InForceDate *\charformat </w:instrText>
      </w:r>
      <w:r w:rsidR="00CF7DD8">
        <w:fldChar w:fldCharType="separate"/>
      </w:r>
      <w:r w:rsidR="00FF3523">
        <w:t>11 December 2018</w:t>
      </w:r>
      <w:r w:rsidR="00CF7DD8">
        <w:fldChar w:fldCharType="end"/>
      </w:r>
      <w:r w:rsidRPr="003D214E">
        <w:rPr>
          <w:rStyle w:val="charItals"/>
        </w:rPr>
        <w:t xml:space="preserve">.  </w:t>
      </w:r>
      <w:r>
        <w:t xml:space="preserve">It also includes any commencement, amendment, repeal or expiry affecting this republished law to </w:t>
      </w:r>
      <w:r w:rsidR="00CF7DD8">
        <w:fldChar w:fldCharType="begin"/>
      </w:r>
      <w:r w:rsidR="00CF7DD8">
        <w:instrText xml:space="preserve"> REF EffectiveDate *\charformat </w:instrText>
      </w:r>
      <w:r w:rsidR="00CF7DD8">
        <w:fldChar w:fldCharType="separate"/>
      </w:r>
      <w:r w:rsidR="00FF3523">
        <w:t>11 December 2018</w:t>
      </w:r>
      <w:r w:rsidR="00CF7DD8">
        <w:fldChar w:fldCharType="end"/>
      </w:r>
      <w:r>
        <w:t xml:space="preserve">.  </w:t>
      </w:r>
    </w:p>
    <w:p w:rsidR="00A12C50" w:rsidRDefault="00A12C50" w:rsidP="00A12C50">
      <w:pPr>
        <w:pStyle w:val="CoverText"/>
      </w:pPr>
      <w:r>
        <w:t xml:space="preserve">The legislation history and amendment history of the republished law are set out in endnotes 3 and 4. </w:t>
      </w:r>
    </w:p>
    <w:p w:rsidR="00A12C50" w:rsidRDefault="00A12C50" w:rsidP="00A12C50">
      <w:pPr>
        <w:pStyle w:val="CoverSubHdg"/>
      </w:pPr>
      <w:r>
        <w:t>Kinds of republications</w:t>
      </w:r>
    </w:p>
    <w:p w:rsidR="00A12C50" w:rsidRDefault="00A12C50" w:rsidP="00A12C5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A12C50" w:rsidRDefault="00A12C50" w:rsidP="00A12C50">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rsidR="00A12C50" w:rsidRDefault="00A12C50" w:rsidP="00A12C50">
      <w:pPr>
        <w:pStyle w:val="CoverTextBullet"/>
        <w:tabs>
          <w:tab w:val="left" w:pos="0"/>
        </w:tabs>
      </w:pPr>
      <w:r>
        <w:t>unauthorised republications.</w:t>
      </w:r>
    </w:p>
    <w:p w:rsidR="00A12C50" w:rsidRDefault="00A12C50" w:rsidP="00A12C50">
      <w:pPr>
        <w:pStyle w:val="CoverText"/>
      </w:pPr>
      <w:r>
        <w:t>The status of this republication appears on the bottom of each page.</w:t>
      </w:r>
    </w:p>
    <w:p w:rsidR="00A12C50" w:rsidRDefault="00A12C50" w:rsidP="00A12C50">
      <w:pPr>
        <w:pStyle w:val="CoverSubHdg"/>
      </w:pPr>
      <w:r>
        <w:t>Editorial changes</w:t>
      </w:r>
    </w:p>
    <w:p w:rsidR="00A12C50" w:rsidRDefault="00A12C50" w:rsidP="00A12C5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12C50" w:rsidRDefault="0039286B" w:rsidP="00A12C50">
      <w:pPr>
        <w:pStyle w:val="CoverText"/>
      </w:pPr>
      <w:r>
        <w:t>This republication</w:t>
      </w:r>
      <w:r w:rsidR="00694A16">
        <w:t xml:space="preserve"> </w:t>
      </w:r>
      <w:r w:rsidR="009E7EAC">
        <w:t>include</w:t>
      </w:r>
      <w:r w:rsidR="007A67C3">
        <w:t>s</w:t>
      </w:r>
      <w:r w:rsidR="00A12C50">
        <w:t xml:space="preserve"> amendments made under part 11.3 (see endnote 1).</w:t>
      </w:r>
    </w:p>
    <w:p w:rsidR="00A12C50" w:rsidRDefault="00A12C50" w:rsidP="00A12C50">
      <w:pPr>
        <w:pStyle w:val="CoverSubHdg"/>
      </w:pPr>
      <w:r>
        <w:t>Uncommenced provisions and amendments</w:t>
      </w:r>
    </w:p>
    <w:p w:rsidR="00A12C50" w:rsidRDefault="00A12C50" w:rsidP="00A12C5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A12C50" w:rsidRDefault="00A12C50" w:rsidP="00A12C50">
      <w:pPr>
        <w:pStyle w:val="CoverSubHdg"/>
      </w:pPr>
      <w:r>
        <w:t>Modifications</w:t>
      </w:r>
    </w:p>
    <w:p w:rsidR="00A12C50" w:rsidRDefault="00A12C50" w:rsidP="00A12C5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A12C50" w:rsidRDefault="00A12C50" w:rsidP="00A12C50">
      <w:pPr>
        <w:pStyle w:val="CoverSubHdg"/>
      </w:pPr>
      <w:r>
        <w:t>Penalties</w:t>
      </w:r>
    </w:p>
    <w:p w:rsidR="00A12C50" w:rsidRPr="003765DF" w:rsidRDefault="00A12C50" w:rsidP="00A12C50">
      <w:pPr>
        <w:pStyle w:val="CoverText"/>
        <w:rPr>
          <w:color w:val="000000"/>
        </w:rPr>
      </w:pPr>
      <w:r>
        <w:t>At the republication date, the value of a penalty unit for an</w:t>
      </w:r>
      <w:r w:rsidR="00282855">
        <w:t xml:space="preserve"> offence against this law is $160 for an individual and $81</w:t>
      </w:r>
      <w:r>
        <w:t xml:space="preserve">0 for a corporation (see </w:t>
      </w:r>
      <w:hyperlink r:id="rId15" w:tooltip="A2001-14" w:history="1">
        <w:r w:rsidRPr="003D214E">
          <w:rPr>
            <w:rStyle w:val="charCitHyperlinkItal"/>
          </w:rPr>
          <w:t>Legislation Act 2001</w:t>
        </w:r>
      </w:hyperlink>
      <w:r>
        <w:t>, s 133).</w:t>
      </w:r>
    </w:p>
    <w:p w:rsidR="00A12C50" w:rsidRDefault="00A12C50" w:rsidP="00A12C50">
      <w:pPr>
        <w:pStyle w:val="00SigningPage"/>
        <w:sectPr w:rsidR="00A12C50" w:rsidSect="00A12C5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A12C50" w:rsidRDefault="00A12C50" w:rsidP="00A12C50">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12C50" w:rsidRDefault="00A12C50" w:rsidP="00A12C50">
      <w:pPr>
        <w:jc w:val="center"/>
        <w:rPr>
          <w:rFonts w:ascii="Arial" w:hAnsi="Arial"/>
        </w:rPr>
      </w:pPr>
      <w:r>
        <w:rPr>
          <w:rFonts w:ascii="Arial" w:hAnsi="Arial"/>
        </w:rPr>
        <w:t>Australian Capital Territory</w:t>
      </w:r>
    </w:p>
    <w:p w:rsidR="00A12C50" w:rsidRDefault="00CF7DD8" w:rsidP="00A12C50">
      <w:pPr>
        <w:pStyle w:val="Billname"/>
      </w:pPr>
      <w:r>
        <w:fldChar w:fldCharType="begin"/>
      </w:r>
      <w:r>
        <w:instrText xml:space="preserve"> REF Citation \*charformat  \* MERGEFORMAT </w:instrText>
      </w:r>
      <w:r>
        <w:fldChar w:fldCharType="separate"/>
      </w:r>
      <w:r w:rsidR="00FF3523">
        <w:t>Gaming Machine Regulation 2004</w:t>
      </w:r>
      <w:r>
        <w:fldChar w:fldCharType="end"/>
      </w:r>
    </w:p>
    <w:p w:rsidR="00A12C50" w:rsidRDefault="00A12C50" w:rsidP="00A12C50">
      <w:pPr>
        <w:pStyle w:val="CoverInForce"/>
      </w:pPr>
      <w:r>
        <w:t>made under the</w:t>
      </w:r>
    </w:p>
    <w:p w:rsidR="00A12C50" w:rsidRDefault="00CF7DD8" w:rsidP="00A12C50">
      <w:pPr>
        <w:pStyle w:val="CoverActName"/>
      </w:pPr>
      <w:r>
        <w:fldChar w:fldCharType="begin"/>
      </w:r>
      <w:r>
        <w:instrText xml:space="preserve"> REF ActName \*charformat </w:instrText>
      </w:r>
      <w:r>
        <w:fldChar w:fldCharType="separate"/>
      </w:r>
      <w:r w:rsidR="00FF3523" w:rsidRPr="00FF3523">
        <w:t>Gaming Machine Act 2004</w:t>
      </w:r>
      <w:r>
        <w:fldChar w:fldCharType="end"/>
      </w:r>
    </w:p>
    <w:p w:rsidR="00A12C50" w:rsidRDefault="00A12C50" w:rsidP="00A12C50">
      <w:pPr>
        <w:pStyle w:val="Placeholder"/>
      </w:pPr>
      <w:r>
        <w:rPr>
          <w:rStyle w:val="charContents"/>
          <w:sz w:val="16"/>
        </w:rPr>
        <w:t xml:space="preserve">  </w:t>
      </w:r>
      <w:r>
        <w:rPr>
          <w:rStyle w:val="charPage"/>
        </w:rPr>
        <w:t xml:space="preserve">  </w:t>
      </w:r>
    </w:p>
    <w:p w:rsidR="00A12C50" w:rsidRDefault="00A12C50" w:rsidP="00A12C50">
      <w:pPr>
        <w:pStyle w:val="N-TOCheading"/>
      </w:pPr>
      <w:r>
        <w:rPr>
          <w:rStyle w:val="charContents"/>
        </w:rPr>
        <w:t>Contents</w:t>
      </w:r>
    </w:p>
    <w:p w:rsidR="00A12C50" w:rsidRDefault="00A12C50" w:rsidP="00A12C50">
      <w:pPr>
        <w:pStyle w:val="N-9pt"/>
      </w:pPr>
      <w:r>
        <w:tab/>
      </w:r>
      <w:r>
        <w:rPr>
          <w:rStyle w:val="charPage"/>
        </w:rPr>
        <w:t>Page</w:t>
      </w:r>
    </w:p>
    <w:p w:rsidR="00653F6D" w:rsidRDefault="00653F6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2221187" w:history="1">
        <w:r w:rsidRPr="00FE2B3F">
          <w:t>Part 1</w:t>
        </w:r>
        <w:r>
          <w:rPr>
            <w:rFonts w:asciiTheme="minorHAnsi" w:eastAsiaTheme="minorEastAsia" w:hAnsiTheme="minorHAnsi" w:cstheme="minorBidi"/>
            <w:b w:val="0"/>
            <w:sz w:val="22"/>
            <w:szCs w:val="22"/>
            <w:lang w:eastAsia="en-AU"/>
          </w:rPr>
          <w:tab/>
        </w:r>
        <w:r w:rsidRPr="00FE2B3F">
          <w:t>Preliminary</w:t>
        </w:r>
        <w:r w:rsidRPr="00653F6D">
          <w:rPr>
            <w:vanish/>
          </w:rPr>
          <w:tab/>
        </w:r>
        <w:r w:rsidRPr="00653F6D">
          <w:rPr>
            <w:vanish/>
          </w:rPr>
          <w:fldChar w:fldCharType="begin"/>
        </w:r>
        <w:r w:rsidRPr="00653F6D">
          <w:rPr>
            <w:vanish/>
          </w:rPr>
          <w:instrText xml:space="preserve"> PAGEREF _Toc532221187 \h </w:instrText>
        </w:r>
        <w:r w:rsidRPr="00653F6D">
          <w:rPr>
            <w:vanish/>
          </w:rPr>
        </w:r>
        <w:r w:rsidRPr="00653F6D">
          <w:rPr>
            <w:vanish/>
          </w:rPr>
          <w:fldChar w:fldCharType="separate"/>
        </w:r>
        <w:r w:rsidR="00FF3523">
          <w:rPr>
            <w:vanish/>
          </w:rPr>
          <w:t>2</w:t>
        </w:r>
        <w:r w:rsidRPr="00653F6D">
          <w:rPr>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188" w:history="1">
        <w:r w:rsidRPr="00FE2B3F">
          <w:t>1</w:t>
        </w:r>
        <w:r>
          <w:rPr>
            <w:rFonts w:asciiTheme="minorHAnsi" w:eastAsiaTheme="minorEastAsia" w:hAnsiTheme="minorHAnsi" w:cstheme="minorBidi"/>
            <w:sz w:val="22"/>
            <w:szCs w:val="22"/>
            <w:lang w:eastAsia="en-AU"/>
          </w:rPr>
          <w:tab/>
        </w:r>
        <w:r w:rsidRPr="00FE2B3F">
          <w:t>Name of regulation</w:t>
        </w:r>
        <w:r>
          <w:tab/>
        </w:r>
        <w:r>
          <w:fldChar w:fldCharType="begin"/>
        </w:r>
        <w:r>
          <w:instrText xml:space="preserve"> PAGEREF _Toc532221188 \h </w:instrText>
        </w:r>
        <w:r>
          <w:fldChar w:fldCharType="separate"/>
        </w:r>
        <w:r w:rsidR="00FF3523">
          <w:t>2</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189" w:history="1">
        <w:r w:rsidRPr="00FE2B3F">
          <w:t>3</w:t>
        </w:r>
        <w:r>
          <w:rPr>
            <w:rFonts w:asciiTheme="minorHAnsi" w:eastAsiaTheme="minorEastAsia" w:hAnsiTheme="minorHAnsi" w:cstheme="minorBidi"/>
            <w:sz w:val="22"/>
            <w:szCs w:val="22"/>
            <w:lang w:eastAsia="en-AU"/>
          </w:rPr>
          <w:tab/>
        </w:r>
        <w:r w:rsidRPr="00FE2B3F">
          <w:t>Dictionary</w:t>
        </w:r>
        <w:r>
          <w:tab/>
        </w:r>
        <w:r>
          <w:fldChar w:fldCharType="begin"/>
        </w:r>
        <w:r>
          <w:instrText xml:space="preserve"> PAGEREF _Toc532221189 \h </w:instrText>
        </w:r>
        <w:r>
          <w:fldChar w:fldCharType="separate"/>
        </w:r>
        <w:r w:rsidR="00FF3523">
          <w:t>2</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190" w:history="1">
        <w:r w:rsidRPr="00FE2B3F">
          <w:t>4</w:t>
        </w:r>
        <w:r>
          <w:rPr>
            <w:rFonts w:asciiTheme="minorHAnsi" w:eastAsiaTheme="minorEastAsia" w:hAnsiTheme="minorHAnsi" w:cstheme="minorBidi"/>
            <w:sz w:val="22"/>
            <w:szCs w:val="22"/>
            <w:lang w:eastAsia="en-AU"/>
          </w:rPr>
          <w:tab/>
        </w:r>
        <w:r w:rsidRPr="00FE2B3F">
          <w:t>Notes</w:t>
        </w:r>
        <w:r>
          <w:tab/>
        </w:r>
        <w:r>
          <w:fldChar w:fldCharType="begin"/>
        </w:r>
        <w:r>
          <w:instrText xml:space="preserve"> PAGEREF _Toc532221190 \h </w:instrText>
        </w:r>
        <w:r>
          <w:fldChar w:fldCharType="separate"/>
        </w:r>
        <w:r w:rsidR="00FF3523">
          <w:t>2</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191" w:history="1">
        <w:r w:rsidRPr="00FE2B3F">
          <w:t>5</w:t>
        </w:r>
        <w:r>
          <w:rPr>
            <w:rFonts w:asciiTheme="minorHAnsi" w:eastAsiaTheme="minorEastAsia" w:hAnsiTheme="minorHAnsi" w:cstheme="minorBidi"/>
            <w:sz w:val="22"/>
            <w:szCs w:val="22"/>
            <w:lang w:eastAsia="en-AU"/>
          </w:rPr>
          <w:tab/>
        </w:r>
        <w:r w:rsidRPr="00FE2B3F">
          <w:t>Offences against regulation—application of Criminal Code etc</w:t>
        </w:r>
        <w:r>
          <w:tab/>
        </w:r>
        <w:r>
          <w:fldChar w:fldCharType="begin"/>
        </w:r>
        <w:r>
          <w:instrText xml:space="preserve"> PAGEREF _Toc532221191 \h </w:instrText>
        </w:r>
        <w:r>
          <w:fldChar w:fldCharType="separate"/>
        </w:r>
        <w:r w:rsidR="00FF3523">
          <w:t>3</w:t>
        </w:r>
        <w:r>
          <w:fldChar w:fldCharType="end"/>
        </w:r>
      </w:hyperlink>
    </w:p>
    <w:p w:rsidR="00653F6D" w:rsidRDefault="00CF7DD8">
      <w:pPr>
        <w:pStyle w:val="TOC2"/>
        <w:rPr>
          <w:rFonts w:asciiTheme="minorHAnsi" w:eastAsiaTheme="minorEastAsia" w:hAnsiTheme="minorHAnsi" w:cstheme="minorBidi"/>
          <w:b w:val="0"/>
          <w:sz w:val="22"/>
          <w:szCs w:val="22"/>
          <w:lang w:eastAsia="en-AU"/>
        </w:rPr>
      </w:pPr>
      <w:hyperlink w:anchor="_Toc532221192" w:history="1">
        <w:r w:rsidR="00653F6D" w:rsidRPr="00FE2B3F">
          <w:t>Part 2</w:t>
        </w:r>
        <w:r w:rsidR="00653F6D">
          <w:rPr>
            <w:rFonts w:asciiTheme="minorHAnsi" w:eastAsiaTheme="minorEastAsia" w:hAnsiTheme="minorHAnsi" w:cstheme="minorBidi"/>
            <w:b w:val="0"/>
            <w:sz w:val="22"/>
            <w:szCs w:val="22"/>
            <w:lang w:eastAsia="en-AU"/>
          </w:rPr>
          <w:tab/>
        </w:r>
        <w:r w:rsidR="00653F6D" w:rsidRPr="00FE2B3F">
          <w:t>Licences and authorisations</w:t>
        </w:r>
        <w:r w:rsidR="00653F6D" w:rsidRPr="00653F6D">
          <w:rPr>
            <w:vanish/>
          </w:rPr>
          <w:tab/>
        </w:r>
        <w:r w:rsidR="00653F6D" w:rsidRPr="00653F6D">
          <w:rPr>
            <w:vanish/>
          </w:rPr>
          <w:fldChar w:fldCharType="begin"/>
        </w:r>
        <w:r w:rsidR="00653F6D" w:rsidRPr="00653F6D">
          <w:rPr>
            <w:vanish/>
          </w:rPr>
          <w:instrText xml:space="preserve"> PAGEREF _Toc532221192 \h </w:instrText>
        </w:r>
        <w:r w:rsidR="00653F6D" w:rsidRPr="00653F6D">
          <w:rPr>
            <w:vanish/>
          </w:rPr>
        </w:r>
        <w:r w:rsidR="00653F6D" w:rsidRPr="00653F6D">
          <w:rPr>
            <w:vanish/>
          </w:rPr>
          <w:fldChar w:fldCharType="separate"/>
        </w:r>
        <w:r w:rsidR="00FF3523">
          <w:rPr>
            <w:vanish/>
          </w:rPr>
          <w:t>4</w:t>
        </w:r>
        <w:r w:rsidR="00653F6D" w:rsidRPr="00653F6D">
          <w:rPr>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193" w:history="1">
        <w:r w:rsidRPr="00FE2B3F">
          <w:t>6</w:t>
        </w:r>
        <w:r>
          <w:rPr>
            <w:rFonts w:asciiTheme="minorHAnsi" w:eastAsiaTheme="minorEastAsia" w:hAnsiTheme="minorHAnsi" w:cstheme="minorBidi"/>
            <w:sz w:val="22"/>
            <w:szCs w:val="22"/>
            <w:lang w:eastAsia="en-AU"/>
          </w:rPr>
          <w:tab/>
        </w:r>
        <w:r w:rsidRPr="00FE2B3F">
          <w:t>Required documents for applications or notifications—Act, s 16 (i), s 22 (2) (e), s 28 (2) (h), s 38H (3) (b) and s 173D (2) (c)</w:t>
        </w:r>
        <w:r>
          <w:tab/>
        </w:r>
        <w:r>
          <w:fldChar w:fldCharType="begin"/>
        </w:r>
        <w:r>
          <w:instrText xml:space="preserve"> PAGEREF _Toc532221193 \h </w:instrText>
        </w:r>
        <w:r>
          <w:fldChar w:fldCharType="separate"/>
        </w:r>
        <w:r w:rsidR="00FF3523">
          <w:t>4</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194" w:history="1">
        <w:r w:rsidRPr="00FE2B3F">
          <w:t>7</w:t>
        </w:r>
        <w:r>
          <w:rPr>
            <w:rFonts w:asciiTheme="minorHAnsi" w:eastAsiaTheme="minorEastAsia" w:hAnsiTheme="minorHAnsi" w:cstheme="minorBidi"/>
            <w:sz w:val="22"/>
            <w:szCs w:val="22"/>
            <w:lang w:eastAsia="en-AU"/>
          </w:rPr>
          <w:tab/>
        </w:r>
        <w:r w:rsidRPr="00FE2B3F">
          <w:t>Working out club members—Act, s 23 (5) (c) and s 37 (5) (a)</w:t>
        </w:r>
        <w:r>
          <w:tab/>
        </w:r>
        <w:r>
          <w:fldChar w:fldCharType="begin"/>
        </w:r>
        <w:r>
          <w:instrText xml:space="preserve"> PAGEREF _Toc532221194 \h </w:instrText>
        </w:r>
        <w:r>
          <w:fldChar w:fldCharType="separate"/>
        </w:r>
        <w:r w:rsidR="00FF3523">
          <w:t>5</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195" w:history="1">
        <w:r w:rsidRPr="00FE2B3F">
          <w:t>8</w:t>
        </w:r>
        <w:r>
          <w:rPr>
            <w:rFonts w:asciiTheme="minorHAnsi" w:eastAsiaTheme="minorEastAsia" w:hAnsiTheme="minorHAnsi" w:cstheme="minorBidi"/>
            <w:sz w:val="22"/>
            <w:szCs w:val="22"/>
            <w:lang w:eastAsia="en-AU"/>
          </w:rPr>
          <w:tab/>
        </w:r>
        <w:r w:rsidRPr="00FE2B3F">
          <w:t>Other requirements for form of authorisation schedule for class C gaming machines—Act, s 27 (2)</w:t>
        </w:r>
        <w:r>
          <w:tab/>
        </w:r>
        <w:r>
          <w:fldChar w:fldCharType="begin"/>
        </w:r>
        <w:r>
          <w:instrText xml:space="preserve"> PAGEREF _Toc532221195 \h </w:instrText>
        </w:r>
        <w:r>
          <w:fldChar w:fldCharType="separate"/>
        </w:r>
        <w:r w:rsidR="00FF3523">
          <w:t>7</w:t>
        </w:r>
        <w:r>
          <w:fldChar w:fldCharType="end"/>
        </w:r>
      </w:hyperlink>
    </w:p>
    <w:p w:rsidR="00653F6D" w:rsidRDefault="00CF7DD8">
      <w:pPr>
        <w:pStyle w:val="TOC2"/>
        <w:rPr>
          <w:rFonts w:asciiTheme="minorHAnsi" w:eastAsiaTheme="minorEastAsia" w:hAnsiTheme="minorHAnsi" w:cstheme="minorBidi"/>
          <w:b w:val="0"/>
          <w:sz w:val="22"/>
          <w:szCs w:val="22"/>
          <w:lang w:eastAsia="en-AU"/>
        </w:rPr>
      </w:pPr>
      <w:hyperlink w:anchor="_Toc532221196" w:history="1">
        <w:r w:rsidR="00653F6D" w:rsidRPr="00FE2B3F">
          <w:t>Part 3</w:t>
        </w:r>
        <w:r w:rsidR="00653F6D">
          <w:rPr>
            <w:rFonts w:asciiTheme="minorHAnsi" w:eastAsiaTheme="minorEastAsia" w:hAnsiTheme="minorHAnsi" w:cstheme="minorBidi"/>
            <w:b w:val="0"/>
            <w:sz w:val="22"/>
            <w:szCs w:val="22"/>
            <w:lang w:eastAsia="en-AU"/>
          </w:rPr>
          <w:tab/>
        </w:r>
        <w:r w:rsidR="00653F6D" w:rsidRPr="00FE2B3F">
          <w:t>Social impact assessments</w:t>
        </w:r>
        <w:r w:rsidR="00653F6D" w:rsidRPr="00653F6D">
          <w:rPr>
            <w:vanish/>
          </w:rPr>
          <w:tab/>
        </w:r>
        <w:r w:rsidR="00653F6D" w:rsidRPr="00653F6D">
          <w:rPr>
            <w:vanish/>
          </w:rPr>
          <w:fldChar w:fldCharType="begin"/>
        </w:r>
        <w:r w:rsidR="00653F6D" w:rsidRPr="00653F6D">
          <w:rPr>
            <w:vanish/>
          </w:rPr>
          <w:instrText xml:space="preserve"> PAGEREF _Toc532221196 \h </w:instrText>
        </w:r>
        <w:r w:rsidR="00653F6D" w:rsidRPr="00653F6D">
          <w:rPr>
            <w:vanish/>
          </w:rPr>
        </w:r>
        <w:r w:rsidR="00653F6D" w:rsidRPr="00653F6D">
          <w:rPr>
            <w:vanish/>
          </w:rPr>
          <w:fldChar w:fldCharType="separate"/>
        </w:r>
        <w:r w:rsidR="00FF3523">
          <w:rPr>
            <w:vanish/>
          </w:rPr>
          <w:t>8</w:t>
        </w:r>
        <w:r w:rsidR="00653F6D" w:rsidRPr="00653F6D">
          <w:rPr>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197" w:history="1">
        <w:r w:rsidRPr="00FE2B3F">
          <w:t>9</w:t>
        </w:r>
        <w:r>
          <w:rPr>
            <w:rFonts w:asciiTheme="minorHAnsi" w:eastAsiaTheme="minorEastAsia" w:hAnsiTheme="minorHAnsi" w:cstheme="minorBidi"/>
            <w:sz w:val="22"/>
            <w:szCs w:val="22"/>
            <w:lang w:eastAsia="en-AU"/>
          </w:rPr>
          <w:tab/>
        </w:r>
        <w:r w:rsidRPr="00FE2B3F">
          <w:t>Definitions—pt 3</w:t>
        </w:r>
        <w:r>
          <w:tab/>
        </w:r>
        <w:r>
          <w:fldChar w:fldCharType="begin"/>
        </w:r>
        <w:r>
          <w:instrText xml:space="preserve"> PAGEREF _Toc532221197 \h </w:instrText>
        </w:r>
        <w:r>
          <w:fldChar w:fldCharType="separate"/>
        </w:r>
        <w:r w:rsidR="00FF3523">
          <w:t>8</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198" w:history="1">
        <w:r w:rsidRPr="00FE2B3F">
          <w:t>10</w:t>
        </w:r>
        <w:r>
          <w:rPr>
            <w:rFonts w:asciiTheme="minorHAnsi" w:eastAsiaTheme="minorEastAsia" w:hAnsiTheme="minorHAnsi" w:cstheme="minorBidi"/>
            <w:sz w:val="22"/>
            <w:szCs w:val="22"/>
            <w:lang w:eastAsia="en-AU"/>
          </w:rPr>
          <w:tab/>
        </w:r>
        <w:r w:rsidRPr="00FE2B3F">
          <w:t>Requirements for social impact assessment—Act, s 12 (2) (a)</w:t>
        </w:r>
        <w:r>
          <w:tab/>
        </w:r>
        <w:r>
          <w:fldChar w:fldCharType="begin"/>
        </w:r>
        <w:r>
          <w:instrText xml:space="preserve"> PAGEREF _Toc532221198 \h </w:instrText>
        </w:r>
        <w:r>
          <w:fldChar w:fldCharType="separate"/>
        </w:r>
        <w:r w:rsidR="00FF3523">
          <w:t>9</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199" w:history="1">
        <w:r w:rsidRPr="00FE2B3F">
          <w:t>11</w:t>
        </w:r>
        <w:r>
          <w:rPr>
            <w:rFonts w:asciiTheme="minorHAnsi" w:eastAsiaTheme="minorEastAsia" w:hAnsiTheme="minorHAnsi" w:cstheme="minorBidi"/>
            <w:sz w:val="22"/>
            <w:szCs w:val="22"/>
            <w:lang w:eastAsia="en-AU"/>
          </w:rPr>
          <w:tab/>
        </w:r>
        <w:r w:rsidRPr="00FE2B3F">
          <w:t>Matters to be addressed by social impact assessment—Act, s 12 (2) (b)</w:t>
        </w:r>
        <w:r>
          <w:tab/>
        </w:r>
        <w:r>
          <w:fldChar w:fldCharType="begin"/>
        </w:r>
        <w:r>
          <w:instrText xml:space="preserve"> PAGEREF _Toc532221199 \h </w:instrText>
        </w:r>
        <w:r>
          <w:fldChar w:fldCharType="separate"/>
        </w:r>
        <w:r w:rsidR="00FF3523">
          <w:t>10</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00" w:history="1">
        <w:r w:rsidRPr="00FE2B3F">
          <w:t>12</w:t>
        </w:r>
        <w:r>
          <w:rPr>
            <w:rFonts w:asciiTheme="minorHAnsi" w:eastAsiaTheme="minorEastAsia" w:hAnsiTheme="minorHAnsi" w:cstheme="minorBidi"/>
            <w:sz w:val="22"/>
            <w:szCs w:val="22"/>
            <w:lang w:eastAsia="en-AU"/>
          </w:rPr>
          <w:tab/>
        </w:r>
        <w:r w:rsidRPr="00FE2B3F">
          <w:t>Information to be given in social impact assessment—Act, s 12 (2) (c)</w:t>
        </w:r>
        <w:r>
          <w:tab/>
        </w:r>
        <w:r>
          <w:fldChar w:fldCharType="begin"/>
        </w:r>
        <w:r>
          <w:instrText xml:space="preserve"> PAGEREF _Toc532221200 \h </w:instrText>
        </w:r>
        <w:r>
          <w:fldChar w:fldCharType="separate"/>
        </w:r>
        <w:r w:rsidR="00FF3523">
          <w:t>12</w:t>
        </w:r>
        <w:r>
          <w:fldChar w:fldCharType="end"/>
        </w:r>
      </w:hyperlink>
    </w:p>
    <w:p w:rsidR="00653F6D" w:rsidRDefault="00CF7DD8">
      <w:pPr>
        <w:pStyle w:val="TOC2"/>
        <w:rPr>
          <w:rFonts w:asciiTheme="minorHAnsi" w:eastAsiaTheme="minorEastAsia" w:hAnsiTheme="minorHAnsi" w:cstheme="minorBidi"/>
          <w:b w:val="0"/>
          <w:sz w:val="22"/>
          <w:szCs w:val="22"/>
          <w:lang w:eastAsia="en-AU"/>
        </w:rPr>
      </w:pPr>
      <w:hyperlink w:anchor="_Toc532221201" w:history="1">
        <w:r w:rsidR="00653F6D" w:rsidRPr="00FE2B3F">
          <w:t>Part 4</w:t>
        </w:r>
        <w:r w:rsidR="00653F6D">
          <w:rPr>
            <w:rFonts w:asciiTheme="minorHAnsi" w:eastAsiaTheme="minorEastAsia" w:hAnsiTheme="minorHAnsi" w:cstheme="minorBidi"/>
            <w:b w:val="0"/>
            <w:sz w:val="22"/>
            <w:szCs w:val="22"/>
            <w:lang w:eastAsia="en-AU"/>
          </w:rPr>
          <w:tab/>
        </w:r>
        <w:r w:rsidR="00653F6D" w:rsidRPr="00FE2B3F">
          <w:t>Ballots</w:t>
        </w:r>
        <w:r w:rsidR="00653F6D" w:rsidRPr="00653F6D">
          <w:rPr>
            <w:vanish/>
          </w:rPr>
          <w:tab/>
        </w:r>
        <w:r w:rsidR="00653F6D" w:rsidRPr="00653F6D">
          <w:rPr>
            <w:vanish/>
          </w:rPr>
          <w:fldChar w:fldCharType="begin"/>
        </w:r>
        <w:r w:rsidR="00653F6D" w:rsidRPr="00653F6D">
          <w:rPr>
            <w:vanish/>
          </w:rPr>
          <w:instrText xml:space="preserve"> PAGEREF _Toc532221201 \h </w:instrText>
        </w:r>
        <w:r w:rsidR="00653F6D" w:rsidRPr="00653F6D">
          <w:rPr>
            <w:vanish/>
          </w:rPr>
        </w:r>
        <w:r w:rsidR="00653F6D" w:rsidRPr="00653F6D">
          <w:rPr>
            <w:vanish/>
          </w:rPr>
          <w:fldChar w:fldCharType="separate"/>
        </w:r>
        <w:r w:rsidR="00FF3523">
          <w:rPr>
            <w:vanish/>
          </w:rPr>
          <w:t>13</w:t>
        </w:r>
        <w:r w:rsidR="00653F6D" w:rsidRPr="00653F6D">
          <w:rPr>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02" w:history="1">
        <w:r w:rsidRPr="00FE2B3F">
          <w:t>13</w:t>
        </w:r>
        <w:r>
          <w:rPr>
            <w:rFonts w:asciiTheme="minorHAnsi" w:eastAsiaTheme="minorEastAsia" w:hAnsiTheme="minorHAnsi" w:cstheme="minorBidi"/>
            <w:sz w:val="22"/>
            <w:szCs w:val="22"/>
            <w:lang w:eastAsia="en-AU"/>
          </w:rPr>
          <w:tab/>
        </w:r>
        <w:r w:rsidRPr="00FE2B3F">
          <w:t>Definitions—pt 4</w:t>
        </w:r>
        <w:r>
          <w:tab/>
        </w:r>
        <w:r>
          <w:fldChar w:fldCharType="begin"/>
        </w:r>
        <w:r>
          <w:instrText xml:space="preserve"> PAGEREF _Toc532221202 \h </w:instrText>
        </w:r>
        <w:r>
          <w:fldChar w:fldCharType="separate"/>
        </w:r>
        <w:r w:rsidR="00FF3523">
          <w:t>13</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03" w:history="1">
        <w:r w:rsidRPr="00FE2B3F">
          <w:t>14</w:t>
        </w:r>
        <w:r>
          <w:rPr>
            <w:rFonts w:asciiTheme="minorHAnsi" w:eastAsiaTheme="minorEastAsia" w:hAnsiTheme="minorHAnsi" w:cstheme="minorBidi"/>
            <w:sz w:val="22"/>
            <w:szCs w:val="22"/>
            <w:lang w:eastAsia="en-AU"/>
          </w:rPr>
          <w:tab/>
        </w:r>
        <w:r w:rsidRPr="00FE2B3F">
          <w:t>Conduct of ballots</w:t>
        </w:r>
        <w:r>
          <w:tab/>
        </w:r>
        <w:r>
          <w:fldChar w:fldCharType="begin"/>
        </w:r>
        <w:r>
          <w:instrText xml:space="preserve"> PAGEREF _Toc532221203 \h </w:instrText>
        </w:r>
        <w:r>
          <w:fldChar w:fldCharType="separate"/>
        </w:r>
        <w:r w:rsidR="00FF3523">
          <w:t>14</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04" w:history="1">
        <w:r w:rsidRPr="00FE2B3F">
          <w:t>15</w:t>
        </w:r>
        <w:r>
          <w:rPr>
            <w:rFonts w:asciiTheme="minorHAnsi" w:eastAsiaTheme="minorEastAsia" w:hAnsiTheme="minorHAnsi" w:cstheme="minorBidi"/>
            <w:sz w:val="22"/>
            <w:szCs w:val="22"/>
            <w:lang w:eastAsia="en-AU"/>
          </w:rPr>
          <w:tab/>
        </w:r>
        <w:r w:rsidRPr="00FE2B3F">
          <w:t>Offence to disclose someone else’s vote</w:t>
        </w:r>
        <w:r>
          <w:tab/>
        </w:r>
        <w:r>
          <w:fldChar w:fldCharType="begin"/>
        </w:r>
        <w:r>
          <w:instrText xml:space="preserve"> PAGEREF _Toc532221204 \h </w:instrText>
        </w:r>
        <w:r>
          <w:fldChar w:fldCharType="separate"/>
        </w:r>
        <w:r w:rsidR="00FF3523">
          <w:t>14</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05" w:history="1">
        <w:r w:rsidRPr="00FE2B3F">
          <w:t>16</w:t>
        </w:r>
        <w:r>
          <w:rPr>
            <w:rFonts w:asciiTheme="minorHAnsi" w:eastAsiaTheme="minorEastAsia" w:hAnsiTheme="minorHAnsi" w:cstheme="minorBidi"/>
            <w:sz w:val="22"/>
            <w:szCs w:val="22"/>
            <w:lang w:eastAsia="en-AU"/>
          </w:rPr>
          <w:tab/>
        </w:r>
        <w:r w:rsidRPr="00FE2B3F">
          <w:t>Choosing voting close date</w:t>
        </w:r>
        <w:r>
          <w:tab/>
        </w:r>
        <w:r>
          <w:fldChar w:fldCharType="begin"/>
        </w:r>
        <w:r>
          <w:instrText xml:space="preserve"> PAGEREF _Toc532221205 \h </w:instrText>
        </w:r>
        <w:r>
          <w:fldChar w:fldCharType="separate"/>
        </w:r>
        <w:r w:rsidR="00FF3523">
          <w:t>14</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06" w:history="1">
        <w:r w:rsidRPr="00FE2B3F">
          <w:t>17</w:t>
        </w:r>
        <w:r>
          <w:rPr>
            <w:rFonts w:asciiTheme="minorHAnsi" w:eastAsiaTheme="minorEastAsia" w:hAnsiTheme="minorHAnsi" w:cstheme="minorBidi"/>
            <w:sz w:val="22"/>
            <w:szCs w:val="22"/>
            <w:lang w:eastAsia="en-AU"/>
          </w:rPr>
          <w:tab/>
        </w:r>
        <w:r w:rsidRPr="00FE2B3F">
          <w:rPr>
            <w:lang w:eastAsia="en-AU"/>
          </w:rPr>
          <w:t>Telling commission about ballot</w:t>
        </w:r>
        <w:r>
          <w:tab/>
        </w:r>
        <w:r>
          <w:fldChar w:fldCharType="begin"/>
        </w:r>
        <w:r>
          <w:instrText xml:space="preserve"> PAGEREF _Toc532221206 \h </w:instrText>
        </w:r>
        <w:r>
          <w:fldChar w:fldCharType="separate"/>
        </w:r>
        <w:r w:rsidR="00FF3523">
          <w:t>14</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07" w:history="1">
        <w:r w:rsidRPr="00FE2B3F">
          <w:t>18</w:t>
        </w:r>
        <w:r>
          <w:rPr>
            <w:rFonts w:asciiTheme="minorHAnsi" w:eastAsiaTheme="minorEastAsia" w:hAnsiTheme="minorHAnsi" w:cstheme="minorBidi"/>
            <w:sz w:val="22"/>
            <w:szCs w:val="22"/>
            <w:lang w:eastAsia="en-AU"/>
          </w:rPr>
          <w:tab/>
        </w:r>
        <w:r w:rsidRPr="00FE2B3F">
          <w:rPr>
            <w:lang w:eastAsia="en-AU"/>
          </w:rPr>
          <w:t>Information about ballot</w:t>
        </w:r>
        <w:r>
          <w:tab/>
        </w:r>
        <w:r>
          <w:fldChar w:fldCharType="begin"/>
        </w:r>
        <w:r>
          <w:instrText xml:space="preserve"> PAGEREF _Toc532221207 \h </w:instrText>
        </w:r>
        <w:r>
          <w:fldChar w:fldCharType="separate"/>
        </w:r>
        <w:r w:rsidR="00FF3523">
          <w:t>16</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08" w:history="1">
        <w:r w:rsidRPr="00FE2B3F">
          <w:t>19</w:t>
        </w:r>
        <w:r>
          <w:rPr>
            <w:rFonts w:asciiTheme="minorHAnsi" w:eastAsiaTheme="minorEastAsia" w:hAnsiTheme="minorHAnsi" w:cstheme="minorBidi"/>
            <w:sz w:val="22"/>
            <w:szCs w:val="22"/>
            <w:lang w:eastAsia="en-AU"/>
          </w:rPr>
          <w:tab/>
        </w:r>
        <w:r w:rsidRPr="00FE2B3F">
          <w:t>Commission may inspect ballot documents</w:t>
        </w:r>
        <w:r>
          <w:tab/>
        </w:r>
        <w:r>
          <w:fldChar w:fldCharType="begin"/>
        </w:r>
        <w:r>
          <w:instrText xml:space="preserve"> PAGEREF _Toc532221208 \h </w:instrText>
        </w:r>
        <w:r>
          <w:fldChar w:fldCharType="separate"/>
        </w:r>
        <w:r w:rsidR="00FF3523">
          <w:t>16</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09" w:history="1">
        <w:r w:rsidRPr="00FE2B3F">
          <w:t>20</w:t>
        </w:r>
        <w:r>
          <w:rPr>
            <w:rFonts w:asciiTheme="minorHAnsi" w:eastAsiaTheme="minorEastAsia" w:hAnsiTheme="minorHAnsi" w:cstheme="minorBidi"/>
            <w:sz w:val="22"/>
            <w:szCs w:val="22"/>
            <w:lang w:eastAsia="en-AU"/>
          </w:rPr>
          <w:tab/>
        </w:r>
        <w:r w:rsidRPr="00FE2B3F">
          <w:t>Voting members must be given ballot documents</w:t>
        </w:r>
        <w:r>
          <w:tab/>
        </w:r>
        <w:r>
          <w:fldChar w:fldCharType="begin"/>
        </w:r>
        <w:r>
          <w:instrText xml:space="preserve"> PAGEREF _Toc532221209 \h </w:instrText>
        </w:r>
        <w:r>
          <w:fldChar w:fldCharType="separate"/>
        </w:r>
        <w:r w:rsidR="00FF3523">
          <w:t>17</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10" w:history="1">
        <w:r w:rsidRPr="00FE2B3F">
          <w:t>21</w:t>
        </w:r>
        <w:r>
          <w:rPr>
            <w:rFonts w:asciiTheme="minorHAnsi" w:eastAsiaTheme="minorEastAsia" w:hAnsiTheme="minorHAnsi" w:cstheme="minorBidi"/>
            <w:sz w:val="22"/>
            <w:szCs w:val="22"/>
            <w:lang w:eastAsia="en-AU"/>
          </w:rPr>
          <w:tab/>
        </w:r>
        <w:r w:rsidRPr="00FE2B3F">
          <w:t>Checking votes</w:t>
        </w:r>
        <w:r>
          <w:tab/>
        </w:r>
        <w:r>
          <w:fldChar w:fldCharType="begin"/>
        </w:r>
        <w:r>
          <w:instrText xml:space="preserve"> PAGEREF _Toc532221210 \h </w:instrText>
        </w:r>
        <w:r>
          <w:fldChar w:fldCharType="separate"/>
        </w:r>
        <w:r w:rsidR="00FF3523">
          <w:t>18</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11" w:history="1">
        <w:r w:rsidRPr="00FE2B3F">
          <w:t>22</w:t>
        </w:r>
        <w:r>
          <w:rPr>
            <w:rFonts w:asciiTheme="minorHAnsi" w:eastAsiaTheme="minorEastAsia" w:hAnsiTheme="minorHAnsi" w:cstheme="minorBidi"/>
            <w:sz w:val="22"/>
            <w:szCs w:val="22"/>
            <w:lang w:eastAsia="en-AU"/>
          </w:rPr>
          <w:tab/>
        </w:r>
        <w:r w:rsidRPr="00FE2B3F">
          <w:t>Counting votes for ballot</w:t>
        </w:r>
        <w:r>
          <w:tab/>
        </w:r>
        <w:r>
          <w:fldChar w:fldCharType="begin"/>
        </w:r>
        <w:r>
          <w:instrText xml:space="preserve"> PAGEREF _Toc532221211 \h </w:instrText>
        </w:r>
        <w:r>
          <w:fldChar w:fldCharType="separate"/>
        </w:r>
        <w:r w:rsidR="00FF3523">
          <w:t>18</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12" w:history="1">
        <w:r w:rsidRPr="00FE2B3F">
          <w:t>22A</w:t>
        </w:r>
        <w:r>
          <w:rPr>
            <w:rFonts w:asciiTheme="minorHAnsi" w:eastAsiaTheme="minorEastAsia" w:hAnsiTheme="minorHAnsi" w:cstheme="minorBidi"/>
            <w:sz w:val="22"/>
            <w:szCs w:val="22"/>
            <w:lang w:eastAsia="en-AU"/>
          </w:rPr>
          <w:tab/>
        </w:r>
        <w:r w:rsidRPr="00FE2B3F">
          <w:t>Alternative person</w:t>
        </w:r>
        <w:r>
          <w:tab/>
        </w:r>
        <w:r>
          <w:fldChar w:fldCharType="begin"/>
        </w:r>
        <w:r>
          <w:instrText xml:space="preserve"> PAGEREF _Toc532221212 \h </w:instrText>
        </w:r>
        <w:r>
          <w:fldChar w:fldCharType="separate"/>
        </w:r>
        <w:r w:rsidR="00FF3523">
          <w:t>19</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13" w:history="1">
        <w:r w:rsidRPr="00FE2B3F">
          <w:t>22B</w:t>
        </w:r>
        <w:r>
          <w:rPr>
            <w:rFonts w:asciiTheme="minorHAnsi" w:eastAsiaTheme="minorEastAsia" w:hAnsiTheme="minorHAnsi" w:cstheme="minorBidi"/>
            <w:sz w:val="22"/>
            <w:szCs w:val="22"/>
            <w:lang w:eastAsia="en-AU"/>
          </w:rPr>
          <w:tab/>
        </w:r>
        <w:r w:rsidRPr="00FE2B3F">
          <w:t>Supervisory role of commission</w:t>
        </w:r>
        <w:r>
          <w:tab/>
        </w:r>
        <w:r>
          <w:fldChar w:fldCharType="begin"/>
        </w:r>
        <w:r>
          <w:instrText xml:space="preserve"> PAGEREF _Toc532221213 \h </w:instrText>
        </w:r>
        <w:r>
          <w:fldChar w:fldCharType="separate"/>
        </w:r>
        <w:r w:rsidR="00FF3523">
          <w:t>20</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14" w:history="1">
        <w:r w:rsidRPr="00FE2B3F">
          <w:t>22C</w:t>
        </w:r>
        <w:r>
          <w:rPr>
            <w:rFonts w:asciiTheme="minorHAnsi" w:eastAsiaTheme="minorEastAsia" w:hAnsiTheme="minorHAnsi" w:cstheme="minorBidi"/>
            <w:sz w:val="22"/>
            <w:szCs w:val="22"/>
            <w:lang w:eastAsia="en-AU"/>
          </w:rPr>
          <w:tab/>
        </w:r>
        <w:r w:rsidRPr="00FE2B3F">
          <w:t>Supervisory role of club secretary</w:t>
        </w:r>
        <w:r>
          <w:tab/>
        </w:r>
        <w:r>
          <w:fldChar w:fldCharType="begin"/>
        </w:r>
        <w:r>
          <w:instrText xml:space="preserve"> PAGEREF _Toc532221214 \h </w:instrText>
        </w:r>
        <w:r>
          <w:fldChar w:fldCharType="separate"/>
        </w:r>
        <w:r w:rsidR="00FF3523">
          <w:t>20</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15" w:history="1">
        <w:r w:rsidRPr="00FE2B3F">
          <w:t>23</w:t>
        </w:r>
        <w:r>
          <w:rPr>
            <w:rFonts w:asciiTheme="minorHAnsi" w:eastAsiaTheme="minorEastAsia" w:hAnsiTheme="minorHAnsi" w:cstheme="minorBidi"/>
            <w:sz w:val="22"/>
            <w:szCs w:val="22"/>
            <w:lang w:eastAsia="en-AU"/>
          </w:rPr>
          <w:tab/>
        </w:r>
        <w:r w:rsidRPr="00FE2B3F">
          <w:t>Keeping completed ballot documents</w:t>
        </w:r>
        <w:r>
          <w:tab/>
        </w:r>
        <w:r>
          <w:fldChar w:fldCharType="begin"/>
        </w:r>
        <w:r>
          <w:instrText xml:space="preserve"> PAGEREF _Toc532221215 \h </w:instrText>
        </w:r>
        <w:r>
          <w:fldChar w:fldCharType="separate"/>
        </w:r>
        <w:r w:rsidR="00FF3523">
          <w:t>20</w:t>
        </w:r>
        <w:r>
          <w:fldChar w:fldCharType="end"/>
        </w:r>
      </w:hyperlink>
    </w:p>
    <w:p w:rsidR="00653F6D" w:rsidRDefault="00CF7DD8">
      <w:pPr>
        <w:pStyle w:val="TOC2"/>
        <w:rPr>
          <w:rFonts w:asciiTheme="minorHAnsi" w:eastAsiaTheme="minorEastAsia" w:hAnsiTheme="minorHAnsi" w:cstheme="minorBidi"/>
          <w:b w:val="0"/>
          <w:sz w:val="22"/>
          <w:szCs w:val="22"/>
          <w:lang w:eastAsia="en-AU"/>
        </w:rPr>
      </w:pPr>
      <w:hyperlink w:anchor="_Toc532221216" w:history="1">
        <w:r w:rsidR="00653F6D" w:rsidRPr="00FE2B3F">
          <w:t>Part 5</w:t>
        </w:r>
        <w:r w:rsidR="00653F6D">
          <w:rPr>
            <w:rFonts w:asciiTheme="minorHAnsi" w:eastAsiaTheme="minorEastAsia" w:hAnsiTheme="minorHAnsi" w:cstheme="minorBidi"/>
            <w:b w:val="0"/>
            <w:sz w:val="22"/>
            <w:szCs w:val="22"/>
            <w:lang w:eastAsia="en-AU"/>
          </w:rPr>
          <w:tab/>
        </w:r>
        <w:r w:rsidR="00653F6D" w:rsidRPr="00FE2B3F">
          <w:t>Centralised monitoring system</w:t>
        </w:r>
        <w:r w:rsidR="00653F6D" w:rsidRPr="00653F6D">
          <w:rPr>
            <w:vanish/>
          </w:rPr>
          <w:tab/>
        </w:r>
        <w:r w:rsidR="00653F6D" w:rsidRPr="00653F6D">
          <w:rPr>
            <w:vanish/>
          </w:rPr>
          <w:fldChar w:fldCharType="begin"/>
        </w:r>
        <w:r w:rsidR="00653F6D" w:rsidRPr="00653F6D">
          <w:rPr>
            <w:vanish/>
          </w:rPr>
          <w:instrText xml:space="preserve"> PAGEREF _Toc532221216 \h </w:instrText>
        </w:r>
        <w:r w:rsidR="00653F6D" w:rsidRPr="00653F6D">
          <w:rPr>
            <w:vanish/>
          </w:rPr>
        </w:r>
        <w:r w:rsidR="00653F6D" w:rsidRPr="00653F6D">
          <w:rPr>
            <w:vanish/>
          </w:rPr>
          <w:fldChar w:fldCharType="separate"/>
        </w:r>
        <w:r w:rsidR="00FF3523">
          <w:rPr>
            <w:vanish/>
          </w:rPr>
          <w:t>22</w:t>
        </w:r>
        <w:r w:rsidR="00653F6D" w:rsidRPr="00653F6D">
          <w:rPr>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17" w:history="1">
        <w:r w:rsidRPr="00FE2B3F">
          <w:t>24</w:t>
        </w:r>
        <w:r>
          <w:rPr>
            <w:rFonts w:asciiTheme="minorHAnsi" w:eastAsiaTheme="minorEastAsia" w:hAnsiTheme="minorHAnsi" w:cstheme="minorBidi"/>
            <w:sz w:val="22"/>
            <w:szCs w:val="22"/>
            <w:lang w:eastAsia="en-AU"/>
          </w:rPr>
          <w:tab/>
        </w:r>
        <w:r w:rsidRPr="00FE2B3F">
          <w:t>Approval of CMS—Act, s 67 (1)</w:t>
        </w:r>
        <w:r>
          <w:tab/>
        </w:r>
        <w:r>
          <w:fldChar w:fldCharType="begin"/>
        </w:r>
        <w:r>
          <w:instrText xml:space="preserve"> PAGEREF _Toc532221217 \h </w:instrText>
        </w:r>
        <w:r>
          <w:fldChar w:fldCharType="separate"/>
        </w:r>
        <w:r w:rsidR="00FF3523">
          <w:t>22</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18" w:history="1">
        <w:r w:rsidRPr="00FE2B3F">
          <w:t>25</w:t>
        </w:r>
        <w:r>
          <w:rPr>
            <w:rFonts w:asciiTheme="minorHAnsi" w:eastAsiaTheme="minorEastAsia" w:hAnsiTheme="minorHAnsi" w:cstheme="minorBidi"/>
            <w:sz w:val="22"/>
            <w:szCs w:val="22"/>
            <w:lang w:eastAsia="en-AU"/>
          </w:rPr>
          <w:tab/>
        </w:r>
        <w:r w:rsidRPr="00FE2B3F">
          <w:t>Gaming machines to be on CMS</w:t>
        </w:r>
        <w:r>
          <w:tab/>
        </w:r>
        <w:r>
          <w:fldChar w:fldCharType="begin"/>
        </w:r>
        <w:r>
          <w:instrText xml:space="preserve"> PAGEREF _Toc532221218 \h </w:instrText>
        </w:r>
        <w:r>
          <w:fldChar w:fldCharType="separate"/>
        </w:r>
        <w:r w:rsidR="00FF3523">
          <w:t>22</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19" w:history="1">
        <w:r w:rsidRPr="00FE2B3F">
          <w:t>26</w:t>
        </w:r>
        <w:r>
          <w:rPr>
            <w:rFonts w:asciiTheme="minorHAnsi" w:eastAsiaTheme="minorEastAsia" w:hAnsiTheme="minorHAnsi" w:cstheme="minorBidi"/>
            <w:sz w:val="22"/>
            <w:szCs w:val="22"/>
            <w:lang w:eastAsia="en-AU"/>
          </w:rPr>
          <w:tab/>
        </w:r>
        <w:r w:rsidRPr="00FE2B3F">
          <w:t>CMS Access</w:t>
        </w:r>
        <w:r>
          <w:tab/>
        </w:r>
        <w:r>
          <w:fldChar w:fldCharType="begin"/>
        </w:r>
        <w:r>
          <w:instrText xml:space="preserve"> PAGEREF _Toc532221219 \h </w:instrText>
        </w:r>
        <w:r>
          <w:fldChar w:fldCharType="separate"/>
        </w:r>
        <w:r w:rsidR="00FF3523">
          <w:t>23</w:t>
        </w:r>
        <w:r>
          <w:fldChar w:fldCharType="end"/>
        </w:r>
      </w:hyperlink>
    </w:p>
    <w:p w:rsidR="00653F6D" w:rsidRDefault="00CF7DD8">
      <w:pPr>
        <w:pStyle w:val="TOC2"/>
        <w:rPr>
          <w:rFonts w:asciiTheme="minorHAnsi" w:eastAsiaTheme="minorEastAsia" w:hAnsiTheme="minorHAnsi" w:cstheme="minorBidi"/>
          <w:b w:val="0"/>
          <w:sz w:val="22"/>
          <w:szCs w:val="22"/>
          <w:lang w:eastAsia="en-AU"/>
        </w:rPr>
      </w:pPr>
      <w:hyperlink w:anchor="_Toc532221220" w:history="1">
        <w:r w:rsidR="00653F6D" w:rsidRPr="00FE2B3F">
          <w:t>Part 6</w:t>
        </w:r>
        <w:r w:rsidR="00653F6D">
          <w:rPr>
            <w:rFonts w:asciiTheme="minorHAnsi" w:eastAsiaTheme="minorEastAsia" w:hAnsiTheme="minorHAnsi" w:cstheme="minorBidi"/>
            <w:b w:val="0"/>
            <w:sz w:val="22"/>
            <w:szCs w:val="22"/>
            <w:lang w:eastAsia="en-AU"/>
          </w:rPr>
          <w:tab/>
        </w:r>
        <w:r w:rsidR="00653F6D" w:rsidRPr="00FE2B3F">
          <w:t>Cashless gaming systems</w:t>
        </w:r>
        <w:r w:rsidR="00653F6D" w:rsidRPr="00653F6D">
          <w:rPr>
            <w:vanish/>
          </w:rPr>
          <w:tab/>
        </w:r>
        <w:r w:rsidR="00653F6D" w:rsidRPr="00653F6D">
          <w:rPr>
            <w:vanish/>
          </w:rPr>
          <w:fldChar w:fldCharType="begin"/>
        </w:r>
        <w:r w:rsidR="00653F6D" w:rsidRPr="00653F6D">
          <w:rPr>
            <w:vanish/>
          </w:rPr>
          <w:instrText xml:space="preserve"> PAGEREF _Toc532221220 \h </w:instrText>
        </w:r>
        <w:r w:rsidR="00653F6D" w:rsidRPr="00653F6D">
          <w:rPr>
            <w:vanish/>
          </w:rPr>
        </w:r>
        <w:r w:rsidR="00653F6D" w:rsidRPr="00653F6D">
          <w:rPr>
            <w:vanish/>
          </w:rPr>
          <w:fldChar w:fldCharType="separate"/>
        </w:r>
        <w:r w:rsidR="00FF3523">
          <w:rPr>
            <w:vanish/>
          </w:rPr>
          <w:t>24</w:t>
        </w:r>
        <w:r w:rsidR="00653F6D" w:rsidRPr="00653F6D">
          <w:rPr>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21" w:history="1">
        <w:r w:rsidRPr="00FE2B3F">
          <w:t>27</w:t>
        </w:r>
        <w:r>
          <w:rPr>
            <w:rFonts w:asciiTheme="minorHAnsi" w:eastAsiaTheme="minorEastAsia" w:hAnsiTheme="minorHAnsi" w:cstheme="minorBidi"/>
            <w:sz w:val="22"/>
            <w:szCs w:val="22"/>
            <w:lang w:eastAsia="en-AU"/>
          </w:rPr>
          <w:tab/>
        </w:r>
        <w:r w:rsidRPr="00FE2B3F">
          <w:t>Definitions—pt 6</w:t>
        </w:r>
        <w:r>
          <w:tab/>
        </w:r>
        <w:r>
          <w:fldChar w:fldCharType="begin"/>
        </w:r>
        <w:r>
          <w:instrText xml:space="preserve"> PAGEREF _Toc532221221 \h </w:instrText>
        </w:r>
        <w:r>
          <w:fldChar w:fldCharType="separate"/>
        </w:r>
        <w:r w:rsidR="00FF3523">
          <w:t>24</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22" w:history="1">
        <w:r w:rsidRPr="00FE2B3F">
          <w:t>28</w:t>
        </w:r>
        <w:r>
          <w:rPr>
            <w:rFonts w:asciiTheme="minorHAnsi" w:eastAsiaTheme="minorEastAsia" w:hAnsiTheme="minorHAnsi" w:cstheme="minorBidi"/>
            <w:sz w:val="22"/>
            <w:szCs w:val="22"/>
            <w:lang w:eastAsia="en-AU"/>
          </w:rPr>
          <w:tab/>
        </w:r>
        <w:r w:rsidRPr="00FE2B3F">
          <w:t>Operating unapproved cashless gaming system</w:t>
        </w:r>
        <w:r>
          <w:tab/>
        </w:r>
        <w:r>
          <w:fldChar w:fldCharType="begin"/>
        </w:r>
        <w:r>
          <w:instrText xml:space="preserve"> PAGEREF _Toc532221222 \h </w:instrText>
        </w:r>
        <w:r>
          <w:fldChar w:fldCharType="separate"/>
        </w:r>
        <w:r w:rsidR="00FF3523">
          <w:t>25</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23" w:history="1">
        <w:r w:rsidRPr="00FE2B3F">
          <w:t>29</w:t>
        </w:r>
        <w:r>
          <w:rPr>
            <w:rFonts w:asciiTheme="minorHAnsi" w:eastAsiaTheme="minorEastAsia" w:hAnsiTheme="minorHAnsi" w:cstheme="minorBidi"/>
            <w:sz w:val="22"/>
            <w:szCs w:val="22"/>
            <w:lang w:eastAsia="en-AU"/>
          </w:rPr>
          <w:tab/>
        </w:r>
        <w:r w:rsidRPr="00FE2B3F">
          <w:t>Cashless gaming system operational requirements</w:t>
        </w:r>
        <w:r>
          <w:tab/>
        </w:r>
        <w:r>
          <w:fldChar w:fldCharType="begin"/>
        </w:r>
        <w:r>
          <w:instrText xml:space="preserve"> PAGEREF _Toc532221223 \h </w:instrText>
        </w:r>
        <w:r>
          <w:fldChar w:fldCharType="separate"/>
        </w:r>
        <w:r w:rsidR="00FF3523">
          <w:t>26</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24" w:history="1">
        <w:r w:rsidRPr="00FE2B3F">
          <w:t>30</w:t>
        </w:r>
        <w:r>
          <w:rPr>
            <w:rFonts w:asciiTheme="minorHAnsi" w:eastAsiaTheme="minorEastAsia" w:hAnsiTheme="minorHAnsi" w:cstheme="minorBidi"/>
            <w:sz w:val="22"/>
            <w:szCs w:val="22"/>
            <w:lang w:eastAsia="en-AU"/>
          </w:rPr>
          <w:tab/>
        </w:r>
        <w:r w:rsidRPr="00FE2B3F">
          <w:t>Failure to comply with cashless gaming system operational requirement</w:t>
        </w:r>
        <w:r>
          <w:tab/>
        </w:r>
        <w:r>
          <w:fldChar w:fldCharType="begin"/>
        </w:r>
        <w:r>
          <w:instrText xml:space="preserve"> PAGEREF _Toc532221224 \h </w:instrText>
        </w:r>
        <w:r>
          <w:fldChar w:fldCharType="separate"/>
        </w:r>
        <w:r w:rsidR="00FF3523">
          <w:t>27</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25" w:history="1">
        <w:r w:rsidRPr="00FE2B3F">
          <w:t>31</w:t>
        </w:r>
        <w:r>
          <w:rPr>
            <w:rFonts w:asciiTheme="minorHAnsi" w:eastAsiaTheme="minorEastAsia" w:hAnsiTheme="minorHAnsi" w:cstheme="minorBidi"/>
            <w:sz w:val="22"/>
            <w:szCs w:val="22"/>
            <w:lang w:eastAsia="en-AU"/>
          </w:rPr>
          <w:tab/>
        </w:r>
        <w:r w:rsidRPr="00FE2B3F">
          <w:t>Cashless gaming system—offences relating to children</w:t>
        </w:r>
        <w:r>
          <w:tab/>
        </w:r>
        <w:r>
          <w:fldChar w:fldCharType="begin"/>
        </w:r>
        <w:r>
          <w:instrText xml:space="preserve"> PAGEREF _Toc532221225 \h </w:instrText>
        </w:r>
        <w:r>
          <w:fldChar w:fldCharType="separate"/>
        </w:r>
        <w:r w:rsidR="00FF3523">
          <w:t>27</w:t>
        </w:r>
        <w:r>
          <w:fldChar w:fldCharType="end"/>
        </w:r>
      </w:hyperlink>
    </w:p>
    <w:p w:rsidR="00653F6D" w:rsidRDefault="00653F6D">
      <w:pPr>
        <w:pStyle w:val="TOC5"/>
        <w:rPr>
          <w:rFonts w:asciiTheme="minorHAnsi" w:eastAsiaTheme="minorEastAsia" w:hAnsiTheme="minorHAnsi" w:cstheme="minorBidi"/>
          <w:sz w:val="22"/>
          <w:szCs w:val="22"/>
          <w:lang w:eastAsia="en-AU"/>
        </w:rPr>
      </w:pPr>
      <w:r>
        <w:lastRenderedPageBreak/>
        <w:tab/>
      </w:r>
      <w:hyperlink w:anchor="_Toc532221226" w:history="1">
        <w:r w:rsidRPr="00FE2B3F">
          <w:t>32</w:t>
        </w:r>
        <w:r>
          <w:rPr>
            <w:rFonts w:asciiTheme="minorHAnsi" w:eastAsiaTheme="minorEastAsia" w:hAnsiTheme="minorHAnsi" w:cstheme="minorBidi"/>
            <w:sz w:val="22"/>
            <w:szCs w:val="22"/>
            <w:lang w:eastAsia="en-AU"/>
          </w:rPr>
          <w:tab/>
        </w:r>
        <w:r w:rsidRPr="00FE2B3F">
          <w:t>Cashless gaming systems—control procedures</w:t>
        </w:r>
        <w:r>
          <w:tab/>
        </w:r>
        <w:r>
          <w:fldChar w:fldCharType="begin"/>
        </w:r>
        <w:r>
          <w:instrText xml:space="preserve"> PAGEREF _Toc532221226 \h </w:instrText>
        </w:r>
        <w:r>
          <w:fldChar w:fldCharType="separate"/>
        </w:r>
        <w:r w:rsidR="00FF3523">
          <w:t>27</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27" w:history="1">
        <w:r w:rsidRPr="00FE2B3F">
          <w:t>33</w:t>
        </w:r>
        <w:r>
          <w:rPr>
            <w:rFonts w:asciiTheme="minorHAnsi" w:eastAsiaTheme="minorEastAsia" w:hAnsiTheme="minorHAnsi" w:cstheme="minorBidi"/>
            <w:sz w:val="22"/>
            <w:szCs w:val="22"/>
            <w:lang w:eastAsia="en-AU"/>
          </w:rPr>
          <w:tab/>
        </w:r>
        <w:r w:rsidRPr="00FE2B3F">
          <w:t>Unredeemed gaming credits—excluded people</w:t>
        </w:r>
        <w:r>
          <w:tab/>
        </w:r>
        <w:r>
          <w:fldChar w:fldCharType="begin"/>
        </w:r>
        <w:r>
          <w:instrText xml:space="preserve"> PAGEREF _Toc532221227 \h </w:instrText>
        </w:r>
        <w:r>
          <w:fldChar w:fldCharType="separate"/>
        </w:r>
        <w:r w:rsidR="00FF3523">
          <w:t>28</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28" w:history="1">
        <w:r w:rsidRPr="00FE2B3F">
          <w:t>34</w:t>
        </w:r>
        <w:r>
          <w:rPr>
            <w:rFonts w:asciiTheme="minorHAnsi" w:eastAsiaTheme="minorEastAsia" w:hAnsiTheme="minorHAnsi" w:cstheme="minorBidi"/>
            <w:sz w:val="22"/>
            <w:szCs w:val="22"/>
            <w:lang w:eastAsia="en-AU"/>
          </w:rPr>
          <w:tab/>
        </w:r>
        <w:r w:rsidRPr="00FE2B3F">
          <w:t>Unredeemed gaming credits—expiry after 1 year</w:t>
        </w:r>
        <w:r>
          <w:tab/>
        </w:r>
        <w:r>
          <w:fldChar w:fldCharType="begin"/>
        </w:r>
        <w:r>
          <w:instrText xml:space="preserve"> PAGEREF _Toc532221228 \h </w:instrText>
        </w:r>
        <w:r>
          <w:fldChar w:fldCharType="separate"/>
        </w:r>
        <w:r w:rsidR="00FF3523">
          <w:t>29</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29" w:history="1">
        <w:r w:rsidRPr="00FE2B3F">
          <w:t>35</w:t>
        </w:r>
        <w:r>
          <w:rPr>
            <w:rFonts w:asciiTheme="minorHAnsi" w:eastAsiaTheme="minorEastAsia" w:hAnsiTheme="minorHAnsi" w:cstheme="minorBidi"/>
            <w:sz w:val="22"/>
            <w:szCs w:val="22"/>
            <w:lang w:eastAsia="en-AU"/>
          </w:rPr>
          <w:tab/>
        </w:r>
        <w:r w:rsidRPr="00FE2B3F">
          <w:t>Expired gaming credits in annual report of clubs—Act, s 54 (e)</w:t>
        </w:r>
        <w:r>
          <w:tab/>
        </w:r>
        <w:r>
          <w:fldChar w:fldCharType="begin"/>
        </w:r>
        <w:r>
          <w:instrText xml:space="preserve"> PAGEREF _Toc532221229 \h </w:instrText>
        </w:r>
        <w:r>
          <w:fldChar w:fldCharType="separate"/>
        </w:r>
        <w:r w:rsidR="00FF3523">
          <w:t>30</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30" w:history="1">
        <w:r w:rsidRPr="00FE2B3F">
          <w:t>36</w:t>
        </w:r>
        <w:r>
          <w:rPr>
            <w:rFonts w:asciiTheme="minorHAnsi" w:eastAsiaTheme="minorEastAsia" w:hAnsiTheme="minorHAnsi" w:cstheme="minorBidi"/>
            <w:sz w:val="22"/>
            <w:szCs w:val="22"/>
            <w:lang w:eastAsia="en-AU"/>
          </w:rPr>
          <w:tab/>
        </w:r>
        <w:r w:rsidRPr="00FE2B3F">
          <w:t>Restricted use of player account cards</w:t>
        </w:r>
        <w:r>
          <w:tab/>
        </w:r>
        <w:r>
          <w:fldChar w:fldCharType="begin"/>
        </w:r>
        <w:r>
          <w:instrText xml:space="preserve"> PAGEREF _Toc532221230 \h </w:instrText>
        </w:r>
        <w:r>
          <w:fldChar w:fldCharType="separate"/>
        </w:r>
        <w:r w:rsidR="00FF3523">
          <w:t>30</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31" w:history="1">
        <w:r w:rsidRPr="00FE2B3F">
          <w:t>37</w:t>
        </w:r>
        <w:r>
          <w:rPr>
            <w:rFonts w:asciiTheme="minorHAnsi" w:eastAsiaTheme="minorEastAsia" w:hAnsiTheme="minorHAnsi" w:cstheme="minorBidi"/>
            <w:sz w:val="22"/>
            <w:szCs w:val="22"/>
            <w:lang w:eastAsia="en-AU"/>
          </w:rPr>
          <w:tab/>
        </w:r>
        <w:r w:rsidRPr="00FE2B3F">
          <w:t>Restricted use of cashless gaming cards other than player account cards</w:t>
        </w:r>
        <w:r>
          <w:tab/>
        </w:r>
        <w:r>
          <w:fldChar w:fldCharType="begin"/>
        </w:r>
        <w:r>
          <w:instrText xml:space="preserve"> PAGEREF _Toc532221231 \h </w:instrText>
        </w:r>
        <w:r>
          <w:fldChar w:fldCharType="separate"/>
        </w:r>
        <w:r w:rsidR="00FF3523">
          <w:t>31</w:t>
        </w:r>
        <w:r>
          <w:fldChar w:fldCharType="end"/>
        </w:r>
      </w:hyperlink>
    </w:p>
    <w:p w:rsidR="00653F6D" w:rsidRDefault="00CF7DD8">
      <w:pPr>
        <w:pStyle w:val="TOC2"/>
        <w:rPr>
          <w:rFonts w:asciiTheme="minorHAnsi" w:eastAsiaTheme="minorEastAsia" w:hAnsiTheme="minorHAnsi" w:cstheme="minorBidi"/>
          <w:b w:val="0"/>
          <w:sz w:val="22"/>
          <w:szCs w:val="22"/>
          <w:lang w:eastAsia="en-AU"/>
        </w:rPr>
      </w:pPr>
      <w:hyperlink w:anchor="_Toc532221232" w:history="1">
        <w:r w:rsidR="00653F6D" w:rsidRPr="00FE2B3F">
          <w:t>Part 8</w:t>
        </w:r>
        <w:r w:rsidR="00653F6D">
          <w:rPr>
            <w:rFonts w:asciiTheme="minorHAnsi" w:eastAsiaTheme="minorEastAsia" w:hAnsiTheme="minorHAnsi" w:cstheme="minorBidi"/>
            <w:b w:val="0"/>
            <w:sz w:val="22"/>
            <w:szCs w:val="22"/>
            <w:lang w:eastAsia="en-AU"/>
          </w:rPr>
          <w:tab/>
        </w:r>
        <w:r w:rsidR="00653F6D" w:rsidRPr="00FE2B3F">
          <w:t>Linked-jackpot arrangements</w:t>
        </w:r>
        <w:r w:rsidR="00653F6D" w:rsidRPr="00653F6D">
          <w:rPr>
            <w:vanish/>
          </w:rPr>
          <w:tab/>
        </w:r>
        <w:r w:rsidR="00653F6D" w:rsidRPr="00653F6D">
          <w:rPr>
            <w:vanish/>
          </w:rPr>
          <w:fldChar w:fldCharType="begin"/>
        </w:r>
        <w:r w:rsidR="00653F6D" w:rsidRPr="00653F6D">
          <w:rPr>
            <w:vanish/>
          </w:rPr>
          <w:instrText xml:space="preserve"> PAGEREF _Toc532221232 \h </w:instrText>
        </w:r>
        <w:r w:rsidR="00653F6D" w:rsidRPr="00653F6D">
          <w:rPr>
            <w:vanish/>
          </w:rPr>
        </w:r>
        <w:r w:rsidR="00653F6D" w:rsidRPr="00653F6D">
          <w:rPr>
            <w:vanish/>
          </w:rPr>
          <w:fldChar w:fldCharType="separate"/>
        </w:r>
        <w:r w:rsidR="00FF3523">
          <w:rPr>
            <w:vanish/>
          </w:rPr>
          <w:t>32</w:t>
        </w:r>
        <w:r w:rsidR="00653F6D" w:rsidRPr="00653F6D">
          <w:rPr>
            <w:vanish/>
          </w:rPr>
          <w:fldChar w:fldCharType="end"/>
        </w:r>
      </w:hyperlink>
    </w:p>
    <w:p w:rsidR="00653F6D" w:rsidRDefault="00CF7DD8">
      <w:pPr>
        <w:pStyle w:val="TOC3"/>
        <w:rPr>
          <w:rFonts w:asciiTheme="minorHAnsi" w:eastAsiaTheme="minorEastAsia" w:hAnsiTheme="minorHAnsi" w:cstheme="minorBidi"/>
          <w:b w:val="0"/>
          <w:sz w:val="22"/>
          <w:szCs w:val="22"/>
          <w:lang w:eastAsia="en-AU"/>
        </w:rPr>
      </w:pPr>
      <w:hyperlink w:anchor="_Toc532221233" w:history="1">
        <w:r w:rsidR="00653F6D" w:rsidRPr="00FE2B3F">
          <w:t>Division 8.1</w:t>
        </w:r>
        <w:r w:rsidR="00653F6D">
          <w:rPr>
            <w:rFonts w:asciiTheme="minorHAnsi" w:eastAsiaTheme="minorEastAsia" w:hAnsiTheme="minorHAnsi" w:cstheme="minorBidi"/>
            <w:b w:val="0"/>
            <w:sz w:val="22"/>
            <w:szCs w:val="22"/>
            <w:lang w:eastAsia="en-AU"/>
          </w:rPr>
          <w:tab/>
        </w:r>
        <w:r w:rsidR="00653F6D" w:rsidRPr="00FE2B3F">
          <w:t>Linked-jackpot arrangements generally</w:t>
        </w:r>
        <w:r w:rsidR="00653F6D" w:rsidRPr="00653F6D">
          <w:rPr>
            <w:vanish/>
          </w:rPr>
          <w:tab/>
        </w:r>
        <w:r w:rsidR="00653F6D" w:rsidRPr="00653F6D">
          <w:rPr>
            <w:vanish/>
          </w:rPr>
          <w:fldChar w:fldCharType="begin"/>
        </w:r>
        <w:r w:rsidR="00653F6D" w:rsidRPr="00653F6D">
          <w:rPr>
            <w:vanish/>
          </w:rPr>
          <w:instrText xml:space="preserve"> PAGEREF _Toc532221233 \h </w:instrText>
        </w:r>
        <w:r w:rsidR="00653F6D" w:rsidRPr="00653F6D">
          <w:rPr>
            <w:vanish/>
          </w:rPr>
        </w:r>
        <w:r w:rsidR="00653F6D" w:rsidRPr="00653F6D">
          <w:rPr>
            <w:vanish/>
          </w:rPr>
          <w:fldChar w:fldCharType="separate"/>
        </w:r>
        <w:r w:rsidR="00FF3523">
          <w:rPr>
            <w:vanish/>
          </w:rPr>
          <w:t>32</w:t>
        </w:r>
        <w:r w:rsidR="00653F6D" w:rsidRPr="00653F6D">
          <w:rPr>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34" w:history="1">
        <w:r w:rsidRPr="00FE2B3F">
          <w:t>39</w:t>
        </w:r>
        <w:r>
          <w:rPr>
            <w:rFonts w:asciiTheme="minorHAnsi" w:eastAsiaTheme="minorEastAsia" w:hAnsiTheme="minorHAnsi" w:cstheme="minorBidi"/>
            <w:sz w:val="22"/>
            <w:szCs w:val="22"/>
            <w:lang w:eastAsia="en-AU"/>
          </w:rPr>
          <w:tab/>
        </w:r>
        <w:r w:rsidRPr="00FE2B3F">
          <w:t>Application—div 8.1</w:t>
        </w:r>
        <w:r>
          <w:tab/>
        </w:r>
        <w:r>
          <w:fldChar w:fldCharType="begin"/>
        </w:r>
        <w:r>
          <w:instrText xml:space="preserve"> PAGEREF _Toc532221234 \h </w:instrText>
        </w:r>
        <w:r>
          <w:fldChar w:fldCharType="separate"/>
        </w:r>
        <w:r w:rsidR="00FF3523">
          <w:t>32</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35" w:history="1">
        <w:r w:rsidRPr="00FE2B3F">
          <w:t>40</w:t>
        </w:r>
        <w:r>
          <w:rPr>
            <w:rFonts w:asciiTheme="minorHAnsi" w:eastAsiaTheme="minorEastAsia" w:hAnsiTheme="minorHAnsi" w:cstheme="minorBidi"/>
            <w:sz w:val="22"/>
            <w:szCs w:val="22"/>
            <w:lang w:eastAsia="en-AU"/>
          </w:rPr>
          <w:tab/>
        </w:r>
        <w:r w:rsidRPr="00FE2B3F">
          <w:t>Definitions—pt 8</w:t>
        </w:r>
        <w:r>
          <w:tab/>
        </w:r>
        <w:r>
          <w:fldChar w:fldCharType="begin"/>
        </w:r>
        <w:r>
          <w:instrText xml:space="preserve"> PAGEREF _Toc532221235 \h </w:instrText>
        </w:r>
        <w:r>
          <w:fldChar w:fldCharType="separate"/>
        </w:r>
        <w:r w:rsidR="00FF3523">
          <w:t>32</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36" w:history="1">
        <w:r w:rsidRPr="00FE2B3F">
          <w:t>41</w:t>
        </w:r>
        <w:r>
          <w:rPr>
            <w:rFonts w:asciiTheme="minorHAnsi" w:eastAsiaTheme="minorEastAsia" w:hAnsiTheme="minorHAnsi" w:cstheme="minorBidi"/>
            <w:sz w:val="22"/>
            <w:szCs w:val="22"/>
            <w:lang w:eastAsia="en-AU"/>
          </w:rPr>
          <w:tab/>
        </w:r>
        <w:r w:rsidRPr="00FE2B3F">
          <w:t>Arrangement to operate under pt 8—Act, s 134 (3) (b) and s 135 (3) (d)</w:t>
        </w:r>
        <w:r>
          <w:tab/>
        </w:r>
        <w:r>
          <w:fldChar w:fldCharType="begin"/>
        </w:r>
        <w:r>
          <w:instrText xml:space="preserve"> PAGEREF _Toc532221236 \h </w:instrText>
        </w:r>
        <w:r>
          <w:fldChar w:fldCharType="separate"/>
        </w:r>
        <w:r w:rsidR="00FF3523">
          <w:t>32</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37" w:history="1">
        <w:r w:rsidRPr="00FE2B3F">
          <w:t>42</w:t>
        </w:r>
        <w:r>
          <w:rPr>
            <w:rFonts w:asciiTheme="minorHAnsi" w:eastAsiaTheme="minorEastAsia" w:hAnsiTheme="minorHAnsi" w:cstheme="minorBidi"/>
            <w:sz w:val="22"/>
            <w:szCs w:val="22"/>
            <w:lang w:eastAsia="en-AU"/>
          </w:rPr>
          <w:tab/>
        </w:r>
        <w:r w:rsidRPr="00FE2B3F">
          <w:t>Percentage of turnover set aside and reset value</w:t>
        </w:r>
        <w:r>
          <w:tab/>
        </w:r>
        <w:r>
          <w:fldChar w:fldCharType="begin"/>
        </w:r>
        <w:r>
          <w:instrText xml:space="preserve"> PAGEREF _Toc532221237 \h </w:instrText>
        </w:r>
        <w:r>
          <w:fldChar w:fldCharType="separate"/>
        </w:r>
        <w:r w:rsidR="00FF3523">
          <w:t>32</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38" w:history="1">
        <w:r w:rsidRPr="00FE2B3F">
          <w:t>43</w:t>
        </w:r>
        <w:r>
          <w:rPr>
            <w:rFonts w:asciiTheme="minorHAnsi" w:eastAsiaTheme="minorEastAsia" w:hAnsiTheme="minorHAnsi" w:cstheme="minorBidi"/>
            <w:sz w:val="22"/>
            <w:szCs w:val="22"/>
            <w:lang w:eastAsia="en-AU"/>
          </w:rPr>
          <w:tab/>
        </w:r>
        <w:r w:rsidRPr="00FE2B3F">
          <w:t>Linked-jackpot contributions</w:t>
        </w:r>
        <w:r>
          <w:tab/>
        </w:r>
        <w:r>
          <w:fldChar w:fldCharType="begin"/>
        </w:r>
        <w:r>
          <w:instrText xml:space="preserve"> PAGEREF _Toc532221238 \h </w:instrText>
        </w:r>
        <w:r>
          <w:fldChar w:fldCharType="separate"/>
        </w:r>
        <w:r w:rsidR="00FF3523">
          <w:t>33</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39" w:history="1">
        <w:r w:rsidRPr="00FE2B3F">
          <w:t>44</w:t>
        </w:r>
        <w:r>
          <w:rPr>
            <w:rFonts w:asciiTheme="minorHAnsi" w:eastAsiaTheme="minorEastAsia" w:hAnsiTheme="minorHAnsi" w:cstheme="minorBidi"/>
            <w:sz w:val="22"/>
            <w:szCs w:val="22"/>
            <w:lang w:eastAsia="en-AU"/>
          </w:rPr>
          <w:tab/>
        </w:r>
        <w:r w:rsidRPr="00FE2B3F">
          <w:t>Electronic polling</w:t>
        </w:r>
        <w:r>
          <w:tab/>
        </w:r>
        <w:r>
          <w:fldChar w:fldCharType="begin"/>
        </w:r>
        <w:r>
          <w:instrText xml:space="preserve"> PAGEREF _Toc532221239 \h </w:instrText>
        </w:r>
        <w:r>
          <w:fldChar w:fldCharType="separate"/>
        </w:r>
        <w:r w:rsidR="00FF3523">
          <w:t>33</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40" w:history="1">
        <w:r w:rsidRPr="00FE2B3F">
          <w:t>45</w:t>
        </w:r>
        <w:r>
          <w:rPr>
            <w:rFonts w:asciiTheme="minorHAnsi" w:eastAsiaTheme="minorEastAsia" w:hAnsiTheme="minorHAnsi" w:cstheme="minorBidi"/>
            <w:sz w:val="22"/>
            <w:szCs w:val="22"/>
            <w:lang w:eastAsia="en-AU"/>
          </w:rPr>
          <w:tab/>
        </w:r>
        <w:r w:rsidRPr="00FE2B3F">
          <w:t>Display of linked-jackpot amount</w:t>
        </w:r>
        <w:r>
          <w:tab/>
        </w:r>
        <w:r>
          <w:fldChar w:fldCharType="begin"/>
        </w:r>
        <w:r>
          <w:instrText xml:space="preserve"> PAGEREF _Toc532221240 \h </w:instrText>
        </w:r>
        <w:r>
          <w:fldChar w:fldCharType="separate"/>
        </w:r>
        <w:r w:rsidR="00FF3523">
          <w:t>33</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41" w:history="1">
        <w:r w:rsidRPr="00FE2B3F">
          <w:t>46</w:t>
        </w:r>
        <w:r>
          <w:rPr>
            <w:rFonts w:asciiTheme="minorHAnsi" w:eastAsiaTheme="minorEastAsia" w:hAnsiTheme="minorHAnsi" w:cstheme="minorBidi"/>
            <w:sz w:val="22"/>
            <w:szCs w:val="22"/>
            <w:lang w:eastAsia="en-AU"/>
          </w:rPr>
          <w:tab/>
        </w:r>
        <w:r w:rsidRPr="00FE2B3F">
          <w:t>Winning linked jackpots</w:t>
        </w:r>
        <w:r>
          <w:tab/>
        </w:r>
        <w:r>
          <w:fldChar w:fldCharType="begin"/>
        </w:r>
        <w:r>
          <w:instrText xml:space="preserve"> PAGEREF _Toc532221241 \h </w:instrText>
        </w:r>
        <w:r>
          <w:fldChar w:fldCharType="separate"/>
        </w:r>
        <w:r w:rsidR="00FF3523">
          <w:t>34</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42" w:history="1">
        <w:r w:rsidRPr="00FE2B3F">
          <w:t>47</w:t>
        </w:r>
        <w:r>
          <w:rPr>
            <w:rFonts w:asciiTheme="minorHAnsi" w:eastAsiaTheme="minorEastAsia" w:hAnsiTheme="minorHAnsi" w:cstheme="minorBidi"/>
            <w:sz w:val="22"/>
            <w:szCs w:val="22"/>
            <w:lang w:eastAsia="en-AU"/>
          </w:rPr>
          <w:tab/>
        </w:r>
        <w:r w:rsidRPr="00FE2B3F">
          <w:t>Resetting linked gaming machines</w:t>
        </w:r>
        <w:r>
          <w:tab/>
        </w:r>
        <w:r>
          <w:fldChar w:fldCharType="begin"/>
        </w:r>
        <w:r>
          <w:instrText xml:space="preserve"> PAGEREF _Toc532221242 \h </w:instrText>
        </w:r>
        <w:r>
          <w:fldChar w:fldCharType="separate"/>
        </w:r>
        <w:r w:rsidR="00FF3523">
          <w:t>34</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43" w:history="1">
        <w:r w:rsidRPr="00FE2B3F">
          <w:t>48</w:t>
        </w:r>
        <w:r>
          <w:rPr>
            <w:rFonts w:asciiTheme="minorHAnsi" w:eastAsiaTheme="minorEastAsia" w:hAnsiTheme="minorHAnsi" w:cstheme="minorBidi"/>
            <w:sz w:val="22"/>
            <w:szCs w:val="22"/>
            <w:lang w:eastAsia="en-AU"/>
          </w:rPr>
          <w:tab/>
        </w:r>
        <w:r w:rsidRPr="00FE2B3F">
          <w:t>Multiple winners</w:t>
        </w:r>
        <w:r>
          <w:tab/>
        </w:r>
        <w:r>
          <w:fldChar w:fldCharType="begin"/>
        </w:r>
        <w:r>
          <w:instrText xml:space="preserve"> PAGEREF _Toc532221243 \h </w:instrText>
        </w:r>
        <w:r>
          <w:fldChar w:fldCharType="separate"/>
        </w:r>
        <w:r w:rsidR="00FF3523">
          <w:t>34</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44" w:history="1">
        <w:r w:rsidRPr="00FE2B3F">
          <w:t>49</w:t>
        </w:r>
        <w:r>
          <w:rPr>
            <w:rFonts w:asciiTheme="minorHAnsi" w:eastAsiaTheme="minorEastAsia" w:hAnsiTheme="minorHAnsi" w:cstheme="minorBidi"/>
            <w:sz w:val="22"/>
            <w:szCs w:val="22"/>
            <w:lang w:eastAsia="en-AU"/>
          </w:rPr>
          <w:tab/>
        </w:r>
        <w:r w:rsidRPr="00FE2B3F">
          <w:t>Payment of linked jackpots</w:t>
        </w:r>
        <w:r>
          <w:tab/>
        </w:r>
        <w:r>
          <w:fldChar w:fldCharType="begin"/>
        </w:r>
        <w:r>
          <w:instrText xml:space="preserve"> PAGEREF _Toc532221244 \h </w:instrText>
        </w:r>
        <w:r>
          <w:fldChar w:fldCharType="separate"/>
        </w:r>
        <w:r w:rsidR="00FF3523">
          <w:t>34</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45" w:history="1">
        <w:r w:rsidRPr="00FE2B3F">
          <w:t>50</w:t>
        </w:r>
        <w:r>
          <w:rPr>
            <w:rFonts w:asciiTheme="minorHAnsi" w:eastAsiaTheme="minorEastAsia" w:hAnsiTheme="minorHAnsi" w:cstheme="minorBidi"/>
            <w:sz w:val="22"/>
            <w:szCs w:val="22"/>
            <w:lang w:eastAsia="en-AU"/>
          </w:rPr>
          <w:tab/>
        </w:r>
        <w:r w:rsidRPr="00FE2B3F">
          <w:t>Meter readings</w:t>
        </w:r>
        <w:r>
          <w:tab/>
        </w:r>
        <w:r>
          <w:fldChar w:fldCharType="begin"/>
        </w:r>
        <w:r>
          <w:instrText xml:space="preserve"> PAGEREF _Toc532221245 \h </w:instrText>
        </w:r>
        <w:r>
          <w:fldChar w:fldCharType="separate"/>
        </w:r>
        <w:r w:rsidR="00FF3523">
          <w:t>35</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46" w:history="1">
        <w:r w:rsidRPr="00FE2B3F">
          <w:t>51</w:t>
        </w:r>
        <w:r>
          <w:rPr>
            <w:rFonts w:asciiTheme="minorHAnsi" w:eastAsiaTheme="minorEastAsia" w:hAnsiTheme="minorHAnsi" w:cstheme="minorBidi"/>
            <w:sz w:val="22"/>
            <w:szCs w:val="22"/>
            <w:lang w:eastAsia="en-AU"/>
          </w:rPr>
          <w:tab/>
        </w:r>
        <w:r w:rsidRPr="00FE2B3F">
          <w:t>Link equipment in single-user approvals</w:t>
        </w:r>
        <w:r>
          <w:tab/>
        </w:r>
        <w:r>
          <w:fldChar w:fldCharType="begin"/>
        </w:r>
        <w:r>
          <w:instrText xml:space="preserve"> PAGEREF _Toc532221246 \h </w:instrText>
        </w:r>
        <w:r>
          <w:fldChar w:fldCharType="separate"/>
        </w:r>
        <w:r w:rsidR="00FF3523">
          <w:t>35</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47" w:history="1">
        <w:r w:rsidRPr="00FE2B3F">
          <w:t>52</w:t>
        </w:r>
        <w:r>
          <w:rPr>
            <w:rFonts w:asciiTheme="minorHAnsi" w:eastAsiaTheme="minorEastAsia" w:hAnsiTheme="minorHAnsi" w:cstheme="minorBidi"/>
            <w:sz w:val="22"/>
            <w:szCs w:val="22"/>
            <w:lang w:eastAsia="en-AU"/>
          </w:rPr>
          <w:tab/>
        </w:r>
        <w:r w:rsidRPr="00FE2B3F">
          <w:t>Records on ending arrangement</w:t>
        </w:r>
        <w:r>
          <w:tab/>
        </w:r>
        <w:r>
          <w:fldChar w:fldCharType="begin"/>
        </w:r>
        <w:r>
          <w:instrText xml:space="preserve"> PAGEREF _Toc532221247 \h </w:instrText>
        </w:r>
        <w:r>
          <w:fldChar w:fldCharType="separate"/>
        </w:r>
        <w:r w:rsidR="00FF3523">
          <w:t>36</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48" w:history="1">
        <w:r w:rsidRPr="00FE2B3F">
          <w:t>53</w:t>
        </w:r>
        <w:r>
          <w:rPr>
            <w:rFonts w:asciiTheme="minorHAnsi" w:eastAsiaTheme="minorEastAsia" w:hAnsiTheme="minorHAnsi" w:cstheme="minorBidi"/>
            <w:sz w:val="22"/>
            <w:szCs w:val="22"/>
            <w:lang w:eastAsia="en-AU"/>
          </w:rPr>
          <w:tab/>
        </w:r>
        <w:r w:rsidRPr="00FE2B3F">
          <w:t>Uncollected linked jackpots</w:t>
        </w:r>
        <w:r>
          <w:tab/>
        </w:r>
        <w:r>
          <w:fldChar w:fldCharType="begin"/>
        </w:r>
        <w:r>
          <w:instrText xml:space="preserve"> PAGEREF _Toc532221248 \h </w:instrText>
        </w:r>
        <w:r>
          <w:fldChar w:fldCharType="separate"/>
        </w:r>
        <w:r w:rsidR="00FF3523">
          <w:t>36</w:t>
        </w:r>
        <w:r>
          <w:fldChar w:fldCharType="end"/>
        </w:r>
      </w:hyperlink>
    </w:p>
    <w:p w:rsidR="00653F6D" w:rsidRDefault="00CF7DD8">
      <w:pPr>
        <w:pStyle w:val="TOC3"/>
        <w:rPr>
          <w:rFonts w:asciiTheme="minorHAnsi" w:eastAsiaTheme="minorEastAsia" w:hAnsiTheme="minorHAnsi" w:cstheme="minorBidi"/>
          <w:b w:val="0"/>
          <w:sz w:val="22"/>
          <w:szCs w:val="22"/>
          <w:lang w:eastAsia="en-AU"/>
        </w:rPr>
      </w:pPr>
      <w:hyperlink w:anchor="_Toc532221249" w:history="1">
        <w:r w:rsidR="00653F6D" w:rsidRPr="00FE2B3F">
          <w:t>Division 8.2</w:t>
        </w:r>
        <w:r w:rsidR="00653F6D">
          <w:rPr>
            <w:rFonts w:asciiTheme="minorHAnsi" w:eastAsiaTheme="minorEastAsia" w:hAnsiTheme="minorHAnsi" w:cstheme="minorBidi"/>
            <w:b w:val="0"/>
            <w:sz w:val="22"/>
            <w:szCs w:val="22"/>
            <w:lang w:eastAsia="en-AU"/>
          </w:rPr>
          <w:tab/>
        </w:r>
        <w:r w:rsidR="00653F6D" w:rsidRPr="00FE2B3F">
          <w:t>Multi-user permits</w:t>
        </w:r>
        <w:r w:rsidR="00653F6D" w:rsidRPr="00653F6D">
          <w:rPr>
            <w:vanish/>
          </w:rPr>
          <w:tab/>
        </w:r>
        <w:r w:rsidR="00653F6D" w:rsidRPr="00653F6D">
          <w:rPr>
            <w:vanish/>
          </w:rPr>
          <w:fldChar w:fldCharType="begin"/>
        </w:r>
        <w:r w:rsidR="00653F6D" w:rsidRPr="00653F6D">
          <w:rPr>
            <w:vanish/>
          </w:rPr>
          <w:instrText xml:space="preserve"> PAGEREF _Toc532221249 \h </w:instrText>
        </w:r>
        <w:r w:rsidR="00653F6D" w:rsidRPr="00653F6D">
          <w:rPr>
            <w:vanish/>
          </w:rPr>
        </w:r>
        <w:r w:rsidR="00653F6D" w:rsidRPr="00653F6D">
          <w:rPr>
            <w:vanish/>
          </w:rPr>
          <w:fldChar w:fldCharType="separate"/>
        </w:r>
        <w:r w:rsidR="00FF3523">
          <w:rPr>
            <w:vanish/>
          </w:rPr>
          <w:t>36</w:t>
        </w:r>
        <w:r w:rsidR="00653F6D" w:rsidRPr="00653F6D">
          <w:rPr>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50" w:history="1">
        <w:r w:rsidRPr="00FE2B3F">
          <w:t>54</w:t>
        </w:r>
        <w:r>
          <w:rPr>
            <w:rFonts w:asciiTheme="minorHAnsi" w:eastAsiaTheme="minorEastAsia" w:hAnsiTheme="minorHAnsi" w:cstheme="minorBidi"/>
            <w:sz w:val="22"/>
            <w:szCs w:val="22"/>
            <w:lang w:eastAsia="en-AU"/>
          </w:rPr>
          <w:tab/>
        </w:r>
        <w:r w:rsidRPr="00FE2B3F">
          <w:t>Application—div 8.2</w:t>
        </w:r>
        <w:r>
          <w:tab/>
        </w:r>
        <w:r>
          <w:fldChar w:fldCharType="begin"/>
        </w:r>
        <w:r>
          <w:instrText xml:space="preserve"> PAGEREF _Toc532221250 \h </w:instrText>
        </w:r>
        <w:r>
          <w:fldChar w:fldCharType="separate"/>
        </w:r>
        <w:r w:rsidR="00FF3523">
          <w:t>36</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51" w:history="1">
        <w:r w:rsidRPr="00FE2B3F">
          <w:t>55</w:t>
        </w:r>
        <w:r>
          <w:rPr>
            <w:rFonts w:asciiTheme="minorHAnsi" w:eastAsiaTheme="minorEastAsia" w:hAnsiTheme="minorHAnsi" w:cstheme="minorBidi"/>
            <w:sz w:val="22"/>
            <w:szCs w:val="22"/>
            <w:lang w:eastAsia="en-AU"/>
          </w:rPr>
          <w:tab/>
        </w:r>
        <w:r w:rsidRPr="00FE2B3F">
          <w:t>Definitions—div 8.2</w:t>
        </w:r>
        <w:r>
          <w:tab/>
        </w:r>
        <w:r>
          <w:fldChar w:fldCharType="begin"/>
        </w:r>
        <w:r>
          <w:instrText xml:space="preserve"> PAGEREF _Toc532221251 \h </w:instrText>
        </w:r>
        <w:r>
          <w:fldChar w:fldCharType="separate"/>
        </w:r>
        <w:r w:rsidR="00FF3523">
          <w:t>36</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52" w:history="1">
        <w:r w:rsidRPr="00FE2B3F">
          <w:t>56</w:t>
        </w:r>
        <w:r>
          <w:rPr>
            <w:rFonts w:asciiTheme="minorHAnsi" w:eastAsiaTheme="minorEastAsia" w:hAnsiTheme="minorHAnsi" w:cstheme="minorBidi"/>
            <w:sz w:val="22"/>
            <w:szCs w:val="22"/>
            <w:lang w:eastAsia="en-AU"/>
          </w:rPr>
          <w:tab/>
        </w:r>
        <w:r w:rsidRPr="00FE2B3F">
          <w:t>Jackpot trust accounts</w:t>
        </w:r>
        <w:r>
          <w:tab/>
        </w:r>
        <w:r>
          <w:fldChar w:fldCharType="begin"/>
        </w:r>
        <w:r>
          <w:instrText xml:space="preserve"> PAGEREF _Toc532221252 \h </w:instrText>
        </w:r>
        <w:r>
          <w:fldChar w:fldCharType="separate"/>
        </w:r>
        <w:r w:rsidR="00FF3523">
          <w:t>37</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53" w:history="1">
        <w:r w:rsidRPr="00FE2B3F">
          <w:t>57</w:t>
        </w:r>
        <w:r>
          <w:rPr>
            <w:rFonts w:asciiTheme="minorHAnsi" w:eastAsiaTheme="minorEastAsia" w:hAnsiTheme="minorHAnsi" w:cstheme="minorBidi"/>
            <w:sz w:val="22"/>
            <w:szCs w:val="22"/>
            <w:lang w:eastAsia="en-AU"/>
          </w:rPr>
          <w:tab/>
        </w:r>
        <w:r w:rsidRPr="00FE2B3F">
          <w:t>Link service fee</w:t>
        </w:r>
        <w:r>
          <w:tab/>
        </w:r>
        <w:r>
          <w:fldChar w:fldCharType="begin"/>
        </w:r>
        <w:r>
          <w:instrText xml:space="preserve"> PAGEREF _Toc532221253 \h </w:instrText>
        </w:r>
        <w:r>
          <w:fldChar w:fldCharType="separate"/>
        </w:r>
        <w:r w:rsidR="00FF3523">
          <w:t>37</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54" w:history="1">
        <w:r w:rsidRPr="00FE2B3F">
          <w:t>58</w:t>
        </w:r>
        <w:r>
          <w:rPr>
            <w:rFonts w:asciiTheme="minorHAnsi" w:eastAsiaTheme="minorEastAsia" w:hAnsiTheme="minorHAnsi" w:cstheme="minorBidi"/>
            <w:sz w:val="22"/>
            <w:szCs w:val="22"/>
            <w:lang w:eastAsia="en-AU"/>
          </w:rPr>
          <w:tab/>
        </w:r>
        <w:r w:rsidRPr="00FE2B3F">
          <w:t>Access to funds to cover linked-jackpot winnings</w:t>
        </w:r>
        <w:r>
          <w:tab/>
        </w:r>
        <w:r>
          <w:fldChar w:fldCharType="begin"/>
        </w:r>
        <w:r>
          <w:instrText xml:space="preserve"> PAGEREF _Toc532221254 \h </w:instrText>
        </w:r>
        <w:r>
          <w:fldChar w:fldCharType="separate"/>
        </w:r>
        <w:r w:rsidR="00FF3523">
          <w:t>38</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55" w:history="1">
        <w:r w:rsidRPr="00FE2B3F">
          <w:t>59</w:t>
        </w:r>
        <w:r>
          <w:rPr>
            <w:rFonts w:asciiTheme="minorHAnsi" w:eastAsiaTheme="minorEastAsia" w:hAnsiTheme="minorHAnsi" w:cstheme="minorBidi"/>
            <w:sz w:val="22"/>
            <w:szCs w:val="22"/>
            <w:lang w:eastAsia="en-AU"/>
          </w:rPr>
          <w:tab/>
        </w:r>
        <w:r w:rsidRPr="00FE2B3F">
          <w:t>Stating maximum potential linked jackpot</w:t>
        </w:r>
        <w:r>
          <w:tab/>
        </w:r>
        <w:r>
          <w:fldChar w:fldCharType="begin"/>
        </w:r>
        <w:r>
          <w:instrText xml:space="preserve"> PAGEREF _Toc532221255 \h </w:instrText>
        </w:r>
        <w:r>
          <w:fldChar w:fldCharType="separate"/>
        </w:r>
        <w:r w:rsidR="00FF3523">
          <w:t>38</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56" w:history="1">
        <w:r w:rsidRPr="00FE2B3F">
          <w:t>60</w:t>
        </w:r>
        <w:r>
          <w:rPr>
            <w:rFonts w:asciiTheme="minorHAnsi" w:eastAsiaTheme="minorEastAsia" w:hAnsiTheme="minorHAnsi" w:cstheme="minorBidi"/>
            <w:sz w:val="22"/>
            <w:szCs w:val="22"/>
            <w:lang w:eastAsia="en-AU"/>
          </w:rPr>
          <w:tab/>
        </w:r>
        <w:r w:rsidRPr="00FE2B3F">
          <w:t>Collection of linked-jackpot contributions</w:t>
        </w:r>
        <w:r>
          <w:tab/>
        </w:r>
        <w:r>
          <w:fldChar w:fldCharType="begin"/>
        </w:r>
        <w:r>
          <w:instrText xml:space="preserve"> PAGEREF _Toc532221256 \h </w:instrText>
        </w:r>
        <w:r>
          <w:fldChar w:fldCharType="separate"/>
        </w:r>
        <w:r w:rsidR="00FF3523">
          <w:t>38</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57" w:history="1">
        <w:r w:rsidRPr="00FE2B3F">
          <w:t>61</w:t>
        </w:r>
        <w:r>
          <w:rPr>
            <w:rFonts w:asciiTheme="minorHAnsi" w:eastAsiaTheme="minorEastAsia" w:hAnsiTheme="minorHAnsi" w:cstheme="minorBidi"/>
            <w:sz w:val="22"/>
            <w:szCs w:val="22"/>
            <w:lang w:eastAsia="en-AU"/>
          </w:rPr>
          <w:tab/>
        </w:r>
        <w:r w:rsidRPr="00FE2B3F">
          <w:t>Link equipment</w:t>
        </w:r>
        <w:r>
          <w:tab/>
        </w:r>
        <w:r>
          <w:fldChar w:fldCharType="begin"/>
        </w:r>
        <w:r>
          <w:instrText xml:space="preserve"> PAGEREF _Toc532221257 \h </w:instrText>
        </w:r>
        <w:r>
          <w:fldChar w:fldCharType="separate"/>
        </w:r>
        <w:r w:rsidR="00FF3523">
          <w:t>39</w:t>
        </w:r>
        <w:r>
          <w:fldChar w:fldCharType="end"/>
        </w:r>
      </w:hyperlink>
    </w:p>
    <w:p w:rsidR="00653F6D" w:rsidRDefault="00653F6D">
      <w:pPr>
        <w:pStyle w:val="TOC5"/>
        <w:rPr>
          <w:rFonts w:asciiTheme="minorHAnsi" w:eastAsiaTheme="minorEastAsia" w:hAnsiTheme="minorHAnsi" w:cstheme="minorBidi"/>
          <w:sz w:val="22"/>
          <w:szCs w:val="22"/>
          <w:lang w:eastAsia="en-AU"/>
        </w:rPr>
      </w:pPr>
      <w:r>
        <w:lastRenderedPageBreak/>
        <w:tab/>
      </w:r>
      <w:hyperlink w:anchor="_Toc532221258" w:history="1">
        <w:r w:rsidRPr="00FE2B3F">
          <w:t>62</w:t>
        </w:r>
        <w:r>
          <w:rPr>
            <w:rFonts w:asciiTheme="minorHAnsi" w:eastAsiaTheme="minorEastAsia" w:hAnsiTheme="minorHAnsi" w:cstheme="minorBidi"/>
            <w:sz w:val="22"/>
            <w:szCs w:val="22"/>
            <w:lang w:eastAsia="en-AU"/>
          </w:rPr>
          <w:tab/>
        </w:r>
        <w:r w:rsidRPr="00FE2B3F">
          <w:t>Division of jackpot trust account on ending arrangement</w:t>
        </w:r>
        <w:r>
          <w:tab/>
        </w:r>
        <w:r>
          <w:fldChar w:fldCharType="begin"/>
        </w:r>
        <w:r>
          <w:instrText xml:space="preserve"> PAGEREF _Toc532221258 \h </w:instrText>
        </w:r>
        <w:r>
          <w:fldChar w:fldCharType="separate"/>
        </w:r>
        <w:r w:rsidR="00FF3523">
          <w:t>39</w:t>
        </w:r>
        <w:r>
          <w:fldChar w:fldCharType="end"/>
        </w:r>
      </w:hyperlink>
    </w:p>
    <w:p w:rsidR="00653F6D" w:rsidRDefault="00CF7DD8">
      <w:pPr>
        <w:pStyle w:val="TOC2"/>
        <w:rPr>
          <w:rFonts w:asciiTheme="minorHAnsi" w:eastAsiaTheme="minorEastAsia" w:hAnsiTheme="minorHAnsi" w:cstheme="minorBidi"/>
          <w:b w:val="0"/>
          <w:sz w:val="22"/>
          <w:szCs w:val="22"/>
          <w:lang w:eastAsia="en-AU"/>
        </w:rPr>
      </w:pPr>
      <w:hyperlink w:anchor="_Toc532221259" w:history="1">
        <w:r w:rsidR="00653F6D" w:rsidRPr="00FE2B3F">
          <w:t>Part 8A</w:t>
        </w:r>
        <w:r w:rsidR="00653F6D">
          <w:rPr>
            <w:rFonts w:asciiTheme="minorHAnsi" w:eastAsiaTheme="minorEastAsia" w:hAnsiTheme="minorHAnsi" w:cstheme="minorBidi"/>
            <w:b w:val="0"/>
            <w:sz w:val="22"/>
            <w:szCs w:val="22"/>
            <w:lang w:eastAsia="en-AU"/>
          </w:rPr>
          <w:tab/>
        </w:r>
        <w:r w:rsidR="00653F6D" w:rsidRPr="00FE2B3F">
          <w:t>Restrictions on cash facilities—Act, s 178 (2) (c)</w:t>
        </w:r>
        <w:r w:rsidR="00653F6D" w:rsidRPr="00653F6D">
          <w:rPr>
            <w:vanish/>
          </w:rPr>
          <w:tab/>
        </w:r>
        <w:r w:rsidR="00653F6D" w:rsidRPr="00653F6D">
          <w:rPr>
            <w:vanish/>
          </w:rPr>
          <w:fldChar w:fldCharType="begin"/>
        </w:r>
        <w:r w:rsidR="00653F6D" w:rsidRPr="00653F6D">
          <w:rPr>
            <w:vanish/>
          </w:rPr>
          <w:instrText xml:space="preserve"> PAGEREF _Toc532221259 \h </w:instrText>
        </w:r>
        <w:r w:rsidR="00653F6D" w:rsidRPr="00653F6D">
          <w:rPr>
            <w:vanish/>
          </w:rPr>
        </w:r>
        <w:r w:rsidR="00653F6D" w:rsidRPr="00653F6D">
          <w:rPr>
            <w:vanish/>
          </w:rPr>
          <w:fldChar w:fldCharType="separate"/>
        </w:r>
        <w:r w:rsidR="00FF3523">
          <w:rPr>
            <w:vanish/>
          </w:rPr>
          <w:t>41</w:t>
        </w:r>
        <w:r w:rsidR="00653F6D" w:rsidRPr="00653F6D">
          <w:rPr>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60" w:history="1">
        <w:r w:rsidRPr="00FE2B3F">
          <w:t>62A</w:t>
        </w:r>
        <w:r>
          <w:rPr>
            <w:rFonts w:asciiTheme="minorHAnsi" w:eastAsiaTheme="minorEastAsia" w:hAnsiTheme="minorHAnsi" w:cstheme="minorBidi"/>
            <w:sz w:val="22"/>
            <w:szCs w:val="22"/>
            <w:lang w:eastAsia="en-AU"/>
          </w:rPr>
          <w:tab/>
        </w:r>
        <w:r w:rsidRPr="00FE2B3F">
          <w:t>Limits on EFTPOS facility at authorised premises</w:t>
        </w:r>
        <w:r>
          <w:tab/>
        </w:r>
        <w:r>
          <w:fldChar w:fldCharType="begin"/>
        </w:r>
        <w:r>
          <w:instrText xml:space="preserve"> PAGEREF _Toc532221260 \h </w:instrText>
        </w:r>
        <w:r>
          <w:fldChar w:fldCharType="separate"/>
        </w:r>
        <w:r w:rsidR="00FF3523">
          <w:t>41</w:t>
        </w:r>
        <w:r>
          <w:fldChar w:fldCharType="end"/>
        </w:r>
      </w:hyperlink>
    </w:p>
    <w:p w:rsidR="00653F6D" w:rsidRDefault="00CF7DD8">
      <w:pPr>
        <w:pStyle w:val="TOC2"/>
        <w:rPr>
          <w:rFonts w:asciiTheme="minorHAnsi" w:eastAsiaTheme="minorEastAsia" w:hAnsiTheme="minorHAnsi" w:cstheme="minorBidi"/>
          <w:b w:val="0"/>
          <w:sz w:val="22"/>
          <w:szCs w:val="22"/>
          <w:lang w:eastAsia="en-AU"/>
        </w:rPr>
      </w:pPr>
      <w:hyperlink w:anchor="_Toc532221261" w:history="1">
        <w:r w:rsidR="00653F6D" w:rsidRPr="00FE2B3F">
          <w:t>Part 9</w:t>
        </w:r>
        <w:r w:rsidR="00653F6D">
          <w:rPr>
            <w:rFonts w:asciiTheme="minorHAnsi" w:eastAsiaTheme="minorEastAsia" w:hAnsiTheme="minorHAnsi" w:cstheme="minorBidi"/>
            <w:b w:val="0"/>
            <w:sz w:val="22"/>
            <w:szCs w:val="22"/>
            <w:lang w:eastAsia="en-AU"/>
          </w:rPr>
          <w:tab/>
        </w:r>
        <w:r w:rsidR="00653F6D" w:rsidRPr="00FE2B3F">
          <w:t>Community contributions</w:t>
        </w:r>
        <w:r w:rsidR="00653F6D" w:rsidRPr="00653F6D">
          <w:rPr>
            <w:vanish/>
          </w:rPr>
          <w:tab/>
        </w:r>
        <w:r w:rsidR="00653F6D" w:rsidRPr="00653F6D">
          <w:rPr>
            <w:vanish/>
          </w:rPr>
          <w:fldChar w:fldCharType="begin"/>
        </w:r>
        <w:r w:rsidR="00653F6D" w:rsidRPr="00653F6D">
          <w:rPr>
            <w:vanish/>
          </w:rPr>
          <w:instrText xml:space="preserve"> PAGEREF _Toc532221261 \h </w:instrText>
        </w:r>
        <w:r w:rsidR="00653F6D" w:rsidRPr="00653F6D">
          <w:rPr>
            <w:vanish/>
          </w:rPr>
        </w:r>
        <w:r w:rsidR="00653F6D" w:rsidRPr="00653F6D">
          <w:rPr>
            <w:vanish/>
          </w:rPr>
          <w:fldChar w:fldCharType="separate"/>
        </w:r>
        <w:r w:rsidR="00FF3523">
          <w:rPr>
            <w:vanish/>
          </w:rPr>
          <w:t>43</w:t>
        </w:r>
        <w:r w:rsidR="00653F6D" w:rsidRPr="00653F6D">
          <w:rPr>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62" w:history="1">
        <w:r w:rsidRPr="00FE2B3F">
          <w:t>63</w:t>
        </w:r>
        <w:r>
          <w:rPr>
            <w:rFonts w:asciiTheme="minorHAnsi" w:eastAsiaTheme="minorEastAsia" w:hAnsiTheme="minorHAnsi" w:cstheme="minorBidi"/>
            <w:sz w:val="22"/>
            <w:szCs w:val="22"/>
            <w:lang w:eastAsia="en-AU"/>
          </w:rPr>
          <w:tab/>
        </w:r>
        <w:r w:rsidRPr="00FE2B3F">
          <w:t>Guidelines for approving contributions generally—Act, s 164 (2) (a)</w:t>
        </w:r>
        <w:r>
          <w:tab/>
        </w:r>
        <w:r>
          <w:fldChar w:fldCharType="begin"/>
        </w:r>
        <w:r>
          <w:instrText xml:space="preserve"> PAGEREF _Toc532221262 \h </w:instrText>
        </w:r>
        <w:r>
          <w:fldChar w:fldCharType="separate"/>
        </w:r>
        <w:r w:rsidR="00FF3523">
          <w:t>43</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63" w:history="1">
        <w:r w:rsidRPr="00FE2B3F">
          <w:t>64</w:t>
        </w:r>
        <w:r>
          <w:rPr>
            <w:rFonts w:asciiTheme="minorHAnsi" w:eastAsiaTheme="minorEastAsia" w:hAnsiTheme="minorHAnsi" w:cstheme="minorBidi"/>
            <w:sz w:val="22"/>
            <w:szCs w:val="22"/>
            <w:lang w:eastAsia="en-AU"/>
          </w:rPr>
          <w:tab/>
        </w:r>
        <w:r w:rsidRPr="00FE2B3F">
          <w:t>Guidelines for approving contributions as charitable and social welfare community contributions—Act, s 164 (2) (a)</w:t>
        </w:r>
        <w:r>
          <w:tab/>
        </w:r>
        <w:r>
          <w:fldChar w:fldCharType="begin"/>
        </w:r>
        <w:r>
          <w:instrText xml:space="preserve"> PAGEREF _Toc532221263 \h </w:instrText>
        </w:r>
        <w:r>
          <w:fldChar w:fldCharType="separate"/>
        </w:r>
        <w:r w:rsidR="00FF3523">
          <w:t>43</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64" w:history="1">
        <w:r w:rsidRPr="00FE2B3F">
          <w:t>64A</w:t>
        </w:r>
        <w:r>
          <w:rPr>
            <w:rFonts w:asciiTheme="minorHAnsi" w:eastAsiaTheme="minorEastAsia" w:hAnsiTheme="minorHAnsi" w:cstheme="minorBidi"/>
            <w:sz w:val="22"/>
            <w:szCs w:val="22"/>
            <w:lang w:eastAsia="en-AU"/>
          </w:rPr>
          <w:tab/>
        </w:r>
        <w:r w:rsidRPr="00FE2B3F">
          <w:t>Guidelines for approving contributions as problem gambling community contributions—Act, s 164 (2) (a)</w:t>
        </w:r>
        <w:r>
          <w:tab/>
        </w:r>
        <w:r>
          <w:fldChar w:fldCharType="begin"/>
        </w:r>
        <w:r>
          <w:instrText xml:space="preserve"> PAGEREF _Toc532221264 \h </w:instrText>
        </w:r>
        <w:r>
          <w:fldChar w:fldCharType="separate"/>
        </w:r>
        <w:r w:rsidR="00FF3523">
          <w:t>44</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65" w:history="1">
        <w:r w:rsidRPr="00FE2B3F">
          <w:t>65</w:t>
        </w:r>
        <w:r>
          <w:rPr>
            <w:rFonts w:asciiTheme="minorHAnsi" w:eastAsiaTheme="minorEastAsia" w:hAnsiTheme="minorHAnsi" w:cstheme="minorBidi"/>
            <w:sz w:val="22"/>
            <w:szCs w:val="22"/>
            <w:lang w:eastAsia="en-AU"/>
          </w:rPr>
          <w:tab/>
        </w:r>
        <w:r w:rsidRPr="00FE2B3F">
          <w:t>Guidelines for approving contributions as sport and recreation community contributions—Act, s164 (2) (a)</w:t>
        </w:r>
        <w:r>
          <w:tab/>
        </w:r>
        <w:r>
          <w:fldChar w:fldCharType="begin"/>
        </w:r>
        <w:r>
          <w:instrText xml:space="preserve"> PAGEREF _Toc532221265 \h </w:instrText>
        </w:r>
        <w:r>
          <w:fldChar w:fldCharType="separate"/>
        </w:r>
        <w:r w:rsidR="00FF3523">
          <w:t>45</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66" w:history="1">
        <w:r w:rsidRPr="00FE2B3F">
          <w:t>66</w:t>
        </w:r>
        <w:r>
          <w:rPr>
            <w:rFonts w:asciiTheme="minorHAnsi" w:eastAsiaTheme="minorEastAsia" w:hAnsiTheme="minorHAnsi" w:cstheme="minorBidi"/>
            <w:sz w:val="22"/>
            <w:szCs w:val="22"/>
            <w:lang w:eastAsia="en-AU"/>
          </w:rPr>
          <w:tab/>
        </w:r>
        <w:r w:rsidRPr="00FE2B3F">
          <w:t>Guidelines for approving contributions as non-profit activities community contributions—Act s 164 (2) (a)</w:t>
        </w:r>
        <w:r>
          <w:tab/>
        </w:r>
        <w:r>
          <w:fldChar w:fldCharType="begin"/>
        </w:r>
        <w:r>
          <w:instrText xml:space="preserve"> PAGEREF _Toc532221266 \h </w:instrText>
        </w:r>
        <w:r>
          <w:fldChar w:fldCharType="separate"/>
        </w:r>
        <w:r w:rsidR="00FF3523">
          <w:t>47</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67" w:history="1">
        <w:r w:rsidRPr="00FE2B3F">
          <w:t>67</w:t>
        </w:r>
        <w:r>
          <w:rPr>
            <w:rFonts w:asciiTheme="minorHAnsi" w:eastAsiaTheme="minorEastAsia" w:hAnsiTheme="minorHAnsi" w:cstheme="minorBidi"/>
            <w:sz w:val="22"/>
            <w:szCs w:val="22"/>
            <w:lang w:eastAsia="en-AU"/>
          </w:rPr>
          <w:tab/>
        </w:r>
        <w:r w:rsidRPr="00FE2B3F">
          <w:t>Guidelines for approving contributions as community infrastructure community contributions—Act, s 164 (2) (a)</w:t>
        </w:r>
        <w:r>
          <w:tab/>
        </w:r>
        <w:r>
          <w:fldChar w:fldCharType="begin"/>
        </w:r>
        <w:r>
          <w:instrText xml:space="preserve"> PAGEREF _Toc532221267 \h </w:instrText>
        </w:r>
        <w:r>
          <w:fldChar w:fldCharType="separate"/>
        </w:r>
        <w:r w:rsidR="00FF3523">
          <w:t>48</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68" w:history="1">
        <w:r w:rsidRPr="00FE2B3F">
          <w:t>68</w:t>
        </w:r>
        <w:r>
          <w:rPr>
            <w:rFonts w:asciiTheme="minorHAnsi" w:eastAsiaTheme="minorEastAsia" w:hAnsiTheme="minorHAnsi" w:cstheme="minorBidi"/>
            <w:sz w:val="22"/>
            <w:szCs w:val="22"/>
            <w:lang w:eastAsia="en-AU"/>
          </w:rPr>
          <w:tab/>
        </w:r>
        <w:r w:rsidRPr="00FE2B3F">
          <w:t>Claiming contributions if income related to contribution—Act, s 164 (2)</w:t>
        </w:r>
        <w:r>
          <w:tab/>
        </w:r>
        <w:r>
          <w:fldChar w:fldCharType="begin"/>
        </w:r>
        <w:r>
          <w:instrText xml:space="preserve"> PAGEREF _Toc532221268 \h </w:instrText>
        </w:r>
        <w:r>
          <w:fldChar w:fldCharType="separate"/>
        </w:r>
        <w:r w:rsidR="00FF3523">
          <w:t>48</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69" w:history="1">
        <w:r w:rsidRPr="00FE2B3F">
          <w:t>69</w:t>
        </w:r>
        <w:r>
          <w:rPr>
            <w:rFonts w:asciiTheme="minorHAnsi" w:eastAsiaTheme="minorEastAsia" w:hAnsiTheme="minorHAnsi" w:cstheme="minorBidi"/>
            <w:sz w:val="22"/>
            <w:szCs w:val="22"/>
            <w:lang w:eastAsia="en-AU"/>
          </w:rPr>
          <w:tab/>
        </w:r>
        <w:r w:rsidRPr="00FE2B3F">
          <w:t>Timing of claiming contributions—Act, s 164 (2)</w:t>
        </w:r>
        <w:r>
          <w:tab/>
        </w:r>
        <w:r>
          <w:fldChar w:fldCharType="begin"/>
        </w:r>
        <w:r>
          <w:instrText xml:space="preserve"> PAGEREF _Toc532221269 \h </w:instrText>
        </w:r>
        <w:r>
          <w:fldChar w:fldCharType="separate"/>
        </w:r>
        <w:r w:rsidR="00FF3523">
          <w:t>49</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70" w:history="1">
        <w:r w:rsidRPr="00FE2B3F">
          <w:t>70</w:t>
        </w:r>
        <w:r>
          <w:rPr>
            <w:rFonts w:asciiTheme="minorHAnsi" w:eastAsiaTheme="minorEastAsia" w:hAnsiTheme="minorHAnsi" w:cstheme="minorBidi"/>
            <w:sz w:val="22"/>
            <w:szCs w:val="22"/>
            <w:lang w:eastAsia="en-AU"/>
          </w:rPr>
          <w:tab/>
        </w:r>
        <w:r w:rsidRPr="00FE2B3F">
          <w:t>Claiming in-kind contributions—Act, s 164 (2)</w:t>
        </w:r>
        <w:r>
          <w:tab/>
        </w:r>
        <w:r>
          <w:fldChar w:fldCharType="begin"/>
        </w:r>
        <w:r>
          <w:instrText xml:space="preserve"> PAGEREF _Toc532221270 \h </w:instrText>
        </w:r>
        <w:r>
          <w:fldChar w:fldCharType="separate"/>
        </w:r>
        <w:r w:rsidR="00FF3523">
          <w:t>49</w:t>
        </w:r>
        <w:r>
          <w:fldChar w:fldCharType="end"/>
        </w:r>
      </w:hyperlink>
    </w:p>
    <w:p w:rsidR="00653F6D" w:rsidRDefault="00CF7DD8">
      <w:pPr>
        <w:pStyle w:val="TOC2"/>
        <w:rPr>
          <w:rFonts w:asciiTheme="minorHAnsi" w:eastAsiaTheme="minorEastAsia" w:hAnsiTheme="minorHAnsi" w:cstheme="minorBidi"/>
          <w:b w:val="0"/>
          <w:sz w:val="22"/>
          <w:szCs w:val="22"/>
          <w:lang w:eastAsia="en-AU"/>
        </w:rPr>
      </w:pPr>
      <w:hyperlink w:anchor="_Toc532221271" w:history="1">
        <w:r w:rsidR="00653F6D" w:rsidRPr="00FE2B3F">
          <w:t>Part 9A</w:t>
        </w:r>
        <w:r w:rsidR="00653F6D">
          <w:rPr>
            <w:rFonts w:asciiTheme="minorHAnsi" w:eastAsiaTheme="minorEastAsia" w:hAnsiTheme="minorHAnsi" w:cstheme="minorBidi"/>
            <w:b w:val="0"/>
            <w:sz w:val="22"/>
            <w:szCs w:val="22"/>
            <w:lang w:eastAsia="en-AU"/>
          </w:rPr>
          <w:tab/>
        </w:r>
        <w:r w:rsidR="00653F6D" w:rsidRPr="00FE2B3F">
          <w:t>Storage of authorisations and gaming machines—permits</w:t>
        </w:r>
        <w:r w:rsidR="00653F6D" w:rsidRPr="00653F6D">
          <w:rPr>
            <w:vanish/>
          </w:rPr>
          <w:tab/>
        </w:r>
        <w:r w:rsidR="00653F6D" w:rsidRPr="00653F6D">
          <w:rPr>
            <w:vanish/>
          </w:rPr>
          <w:fldChar w:fldCharType="begin"/>
        </w:r>
        <w:r w:rsidR="00653F6D" w:rsidRPr="00653F6D">
          <w:rPr>
            <w:vanish/>
          </w:rPr>
          <w:instrText xml:space="preserve"> PAGEREF _Toc532221271 \h </w:instrText>
        </w:r>
        <w:r w:rsidR="00653F6D" w:rsidRPr="00653F6D">
          <w:rPr>
            <w:vanish/>
          </w:rPr>
        </w:r>
        <w:r w:rsidR="00653F6D" w:rsidRPr="00653F6D">
          <w:rPr>
            <w:vanish/>
          </w:rPr>
          <w:fldChar w:fldCharType="separate"/>
        </w:r>
        <w:r w:rsidR="00FF3523">
          <w:rPr>
            <w:vanish/>
          </w:rPr>
          <w:t>51</w:t>
        </w:r>
        <w:r w:rsidR="00653F6D" w:rsidRPr="00653F6D">
          <w:rPr>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72" w:history="1">
        <w:r w:rsidRPr="00FE2B3F">
          <w:t>70A</w:t>
        </w:r>
        <w:r>
          <w:rPr>
            <w:rFonts w:asciiTheme="minorHAnsi" w:eastAsiaTheme="minorEastAsia" w:hAnsiTheme="minorHAnsi" w:cstheme="minorBidi"/>
            <w:sz w:val="22"/>
            <w:szCs w:val="22"/>
            <w:lang w:eastAsia="en-AU"/>
          </w:rPr>
          <w:tab/>
        </w:r>
        <w:r w:rsidRPr="00FE2B3F">
          <w:t>Form of storage permit—Act, s 127S (e)</w:t>
        </w:r>
        <w:r>
          <w:tab/>
        </w:r>
        <w:r>
          <w:fldChar w:fldCharType="begin"/>
        </w:r>
        <w:r>
          <w:instrText xml:space="preserve"> PAGEREF _Toc532221272 \h </w:instrText>
        </w:r>
        <w:r>
          <w:fldChar w:fldCharType="separate"/>
        </w:r>
        <w:r w:rsidR="00FF3523">
          <w:t>51</w:t>
        </w:r>
        <w:r>
          <w:fldChar w:fldCharType="end"/>
        </w:r>
      </w:hyperlink>
    </w:p>
    <w:p w:rsidR="00653F6D" w:rsidRDefault="00CF7DD8">
      <w:pPr>
        <w:pStyle w:val="TOC2"/>
        <w:rPr>
          <w:rFonts w:asciiTheme="minorHAnsi" w:eastAsiaTheme="minorEastAsia" w:hAnsiTheme="minorHAnsi" w:cstheme="minorBidi"/>
          <w:b w:val="0"/>
          <w:sz w:val="22"/>
          <w:szCs w:val="22"/>
          <w:lang w:eastAsia="en-AU"/>
        </w:rPr>
      </w:pPr>
      <w:hyperlink w:anchor="_Toc532221273" w:history="1">
        <w:r w:rsidR="00653F6D" w:rsidRPr="00FE2B3F">
          <w:t>Part 9B</w:t>
        </w:r>
        <w:r w:rsidR="00653F6D">
          <w:rPr>
            <w:rFonts w:asciiTheme="minorHAnsi" w:eastAsiaTheme="minorEastAsia" w:hAnsiTheme="minorHAnsi" w:cstheme="minorBidi"/>
            <w:b w:val="0"/>
            <w:sz w:val="22"/>
            <w:szCs w:val="22"/>
            <w:lang w:eastAsia="en-AU"/>
          </w:rPr>
          <w:tab/>
        </w:r>
        <w:r w:rsidR="00653F6D" w:rsidRPr="00FE2B3F">
          <w:t>Notifiable actions</w:t>
        </w:r>
        <w:r w:rsidR="00653F6D" w:rsidRPr="00653F6D">
          <w:rPr>
            <w:vanish/>
          </w:rPr>
          <w:tab/>
        </w:r>
        <w:r w:rsidR="00653F6D" w:rsidRPr="00653F6D">
          <w:rPr>
            <w:vanish/>
          </w:rPr>
          <w:fldChar w:fldCharType="begin"/>
        </w:r>
        <w:r w:rsidR="00653F6D" w:rsidRPr="00653F6D">
          <w:rPr>
            <w:vanish/>
          </w:rPr>
          <w:instrText xml:space="preserve"> PAGEREF _Toc532221273 \h </w:instrText>
        </w:r>
        <w:r w:rsidR="00653F6D" w:rsidRPr="00653F6D">
          <w:rPr>
            <w:vanish/>
          </w:rPr>
        </w:r>
        <w:r w:rsidR="00653F6D" w:rsidRPr="00653F6D">
          <w:rPr>
            <w:vanish/>
          </w:rPr>
          <w:fldChar w:fldCharType="separate"/>
        </w:r>
        <w:r w:rsidR="00FF3523">
          <w:rPr>
            <w:vanish/>
          </w:rPr>
          <w:t>52</w:t>
        </w:r>
        <w:r w:rsidR="00653F6D" w:rsidRPr="00653F6D">
          <w:rPr>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74" w:history="1">
        <w:r w:rsidRPr="00FE2B3F">
          <w:t>70B</w:t>
        </w:r>
        <w:r>
          <w:rPr>
            <w:rFonts w:asciiTheme="minorHAnsi" w:eastAsiaTheme="minorEastAsia" w:hAnsiTheme="minorHAnsi" w:cstheme="minorBidi"/>
            <w:sz w:val="22"/>
            <w:szCs w:val="22"/>
            <w:lang w:eastAsia="en-AU"/>
          </w:rPr>
          <w:tab/>
        </w:r>
        <w:r w:rsidRPr="00FE2B3F">
          <w:t>Prescribed number of days—Act, s 173D (5)</w:t>
        </w:r>
        <w:r>
          <w:tab/>
        </w:r>
        <w:r>
          <w:fldChar w:fldCharType="begin"/>
        </w:r>
        <w:r>
          <w:instrText xml:space="preserve"> PAGEREF _Toc532221274 \h </w:instrText>
        </w:r>
        <w:r>
          <w:fldChar w:fldCharType="separate"/>
        </w:r>
        <w:r w:rsidR="00FF3523">
          <w:t>52</w:t>
        </w:r>
        <w:r>
          <w:fldChar w:fldCharType="end"/>
        </w:r>
      </w:hyperlink>
    </w:p>
    <w:p w:rsidR="00653F6D" w:rsidRDefault="00CF7DD8">
      <w:pPr>
        <w:pStyle w:val="TOC2"/>
        <w:rPr>
          <w:rFonts w:asciiTheme="minorHAnsi" w:eastAsiaTheme="minorEastAsia" w:hAnsiTheme="minorHAnsi" w:cstheme="minorBidi"/>
          <w:b w:val="0"/>
          <w:sz w:val="22"/>
          <w:szCs w:val="22"/>
          <w:lang w:eastAsia="en-AU"/>
        </w:rPr>
      </w:pPr>
      <w:hyperlink w:anchor="_Toc532221275" w:history="1">
        <w:r w:rsidR="00653F6D" w:rsidRPr="00FE2B3F">
          <w:t>Part 10</w:t>
        </w:r>
        <w:r w:rsidR="00653F6D">
          <w:rPr>
            <w:rFonts w:asciiTheme="minorHAnsi" w:eastAsiaTheme="minorEastAsia" w:hAnsiTheme="minorHAnsi" w:cstheme="minorBidi"/>
            <w:b w:val="0"/>
            <w:sz w:val="22"/>
            <w:szCs w:val="22"/>
            <w:lang w:eastAsia="en-AU"/>
          </w:rPr>
          <w:tab/>
        </w:r>
        <w:r w:rsidR="00653F6D" w:rsidRPr="00FE2B3F">
          <w:t>Miscellaneous</w:t>
        </w:r>
        <w:r w:rsidR="00653F6D" w:rsidRPr="00653F6D">
          <w:rPr>
            <w:vanish/>
          </w:rPr>
          <w:tab/>
        </w:r>
        <w:r w:rsidR="00653F6D" w:rsidRPr="00653F6D">
          <w:rPr>
            <w:vanish/>
          </w:rPr>
          <w:fldChar w:fldCharType="begin"/>
        </w:r>
        <w:r w:rsidR="00653F6D" w:rsidRPr="00653F6D">
          <w:rPr>
            <w:vanish/>
          </w:rPr>
          <w:instrText xml:space="preserve"> PAGEREF _Toc532221275 \h </w:instrText>
        </w:r>
        <w:r w:rsidR="00653F6D" w:rsidRPr="00653F6D">
          <w:rPr>
            <w:vanish/>
          </w:rPr>
        </w:r>
        <w:r w:rsidR="00653F6D" w:rsidRPr="00653F6D">
          <w:rPr>
            <w:vanish/>
          </w:rPr>
          <w:fldChar w:fldCharType="separate"/>
        </w:r>
        <w:r w:rsidR="00FF3523">
          <w:rPr>
            <w:vanish/>
          </w:rPr>
          <w:t>53</w:t>
        </w:r>
        <w:r w:rsidR="00653F6D" w:rsidRPr="00653F6D">
          <w:rPr>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76" w:history="1">
        <w:r w:rsidRPr="00FE2B3F">
          <w:t>72</w:t>
        </w:r>
        <w:r>
          <w:rPr>
            <w:rFonts w:asciiTheme="minorHAnsi" w:eastAsiaTheme="minorEastAsia" w:hAnsiTheme="minorHAnsi" w:cstheme="minorBidi"/>
            <w:sz w:val="22"/>
            <w:szCs w:val="22"/>
            <w:lang w:eastAsia="en-AU"/>
          </w:rPr>
          <w:tab/>
        </w:r>
        <w:r w:rsidRPr="00FE2B3F">
          <w:t>Maximum stake amount—Act, s 49</w:t>
        </w:r>
        <w:r>
          <w:tab/>
        </w:r>
        <w:r>
          <w:fldChar w:fldCharType="begin"/>
        </w:r>
        <w:r>
          <w:instrText xml:space="preserve"> PAGEREF _Toc532221276 \h </w:instrText>
        </w:r>
        <w:r>
          <w:fldChar w:fldCharType="separate"/>
        </w:r>
        <w:r w:rsidR="00FF3523">
          <w:t>53</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77" w:history="1">
        <w:r w:rsidRPr="00FE2B3F">
          <w:t>73</w:t>
        </w:r>
        <w:r>
          <w:rPr>
            <w:rFonts w:asciiTheme="minorHAnsi" w:eastAsiaTheme="minorEastAsia" w:hAnsiTheme="minorHAnsi" w:cstheme="minorBidi"/>
            <w:sz w:val="22"/>
            <w:szCs w:val="22"/>
            <w:lang w:eastAsia="en-AU"/>
          </w:rPr>
          <w:tab/>
        </w:r>
        <w:r w:rsidRPr="00FE2B3F">
          <w:t>Contractual arrangements and consultancies in annual report of clubs—Act, s 54 (b)</w:t>
        </w:r>
        <w:r>
          <w:tab/>
        </w:r>
        <w:r>
          <w:fldChar w:fldCharType="begin"/>
        </w:r>
        <w:r>
          <w:instrText xml:space="preserve"> PAGEREF _Toc532221277 \h </w:instrText>
        </w:r>
        <w:r>
          <w:fldChar w:fldCharType="separate"/>
        </w:r>
        <w:r w:rsidR="00FF3523">
          <w:t>53</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78" w:history="1">
        <w:r w:rsidRPr="00FE2B3F">
          <w:t>74</w:t>
        </w:r>
        <w:r>
          <w:rPr>
            <w:rFonts w:asciiTheme="minorHAnsi" w:eastAsiaTheme="minorEastAsia" w:hAnsiTheme="minorHAnsi" w:cstheme="minorBidi"/>
            <w:sz w:val="22"/>
            <w:szCs w:val="22"/>
            <w:lang w:eastAsia="en-AU"/>
          </w:rPr>
          <w:tab/>
        </w:r>
        <w:r w:rsidRPr="00FE2B3F">
          <w:t>Remuneration in annual report of clubs—Act, s 54 (c)</w:t>
        </w:r>
        <w:r>
          <w:tab/>
        </w:r>
        <w:r>
          <w:fldChar w:fldCharType="begin"/>
        </w:r>
        <w:r>
          <w:instrText xml:space="preserve"> PAGEREF _Toc532221278 \h </w:instrText>
        </w:r>
        <w:r>
          <w:fldChar w:fldCharType="separate"/>
        </w:r>
        <w:r w:rsidR="00FF3523">
          <w:t>53</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79" w:history="1">
        <w:r w:rsidRPr="00FE2B3F">
          <w:t>75</w:t>
        </w:r>
        <w:r>
          <w:rPr>
            <w:rFonts w:asciiTheme="minorHAnsi" w:eastAsiaTheme="minorEastAsia" w:hAnsiTheme="minorHAnsi" w:cstheme="minorBidi"/>
            <w:sz w:val="22"/>
            <w:szCs w:val="22"/>
            <w:lang w:eastAsia="en-AU"/>
          </w:rPr>
          <w:tab/>
        </w:r>
        <w:r w:rsidRPr="00FE2B3F">
          <w:t>Offence to operate high-denomination note acceptor—Act, s 178 (2) (a)</w:t>
        </w:r>
        <w:r>
          <w:tab/>
        </w:r>
        <w:r>
          <w:fldChar w:fldCharType="begin"/>
        </w:r>
        <w:r>
          <w:instrText xml:space="preserve"> PAGEREF _Toc532221279 \h </w:instrText>
        </w:r>
        <w:r>
          <w:fldChar w:fldCharType="separate"/>
        </w:r>
        <w:r w:rsidR="00FF3523">
          <w:t>53</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80" w:history="1">
        <w:r w:rsidRPr="00FE2B3F">
          <w:t>76</w:t>
        </w:r>
        <w:r>
          <w:rPr>
            <w:rFonts w:asciiTheme="minorHAnsi" w:eastAsiaTheme="minorEastAsia" w:hAnsiTheme="minorHAnsi" w:cstheme="minorBidi"/>
            <w:sz w:val="22"/>
            <w:szCs w:val="22"/>
            <w:lang w:eastAsia="en-AU"/>
          </w:rPr>
          <w:tab/>
        </w:r>
        <w:r w:rsidRPr="00FE2B3F">
          <w:t>Minimum payout of gaming machine—Act, s 178 (2) (b)</w:t>
        </w:r>
        <w:r>
          <w:tab/>
        </w:r>
        <w:r>
          <w:fldChar w:fldCharType="begin"/>
        </w:r>
        <w:r>
          <w:instrText xml:space="preserve"> PAGEREF _Toc532221280 \h </w:instrText>
        </w:r>
        <w:r>
          <w:fldChar w:fldCharType="separate"/>
        </w:r>
        <w:r w:rsidR="00FF3523">
          <w:t>54</w:t>
        </w:r>
        <w:r>
          <w:fldChar w:fldCharType="end"/>
        </w:r>
      </w:hyperlink>
    </w:p>
    <w:p w:rsidR="00653F6D" w:rsidRDefault="00653F6D">
      <w:pPr>
        <w:pStyle w:val="TOC5"/>
        <w:rPr>
          <w:rFonts w:asciiTheme="minorHAnsi" w:eastAsiaTheme="minorEastAsia" w:hAnsiTheme="minorHAnsi" w:cstheme="minorBidi"/>
          <w:sz w:val="22"/>
          <w:szCs w:val="22"/>
          <w:lang w:eastAsia="en-AU"/>
        </w:rPr>
      </w:pPr>
      <w:r>
        <w:lastRenderedPageBreak/>
        <w:tab/>
      </w:r>
      <w:hyperlink w:anchor="_Toc532221281" w:history="1">
        <w:r w:rsidRPr="00FE2B3F">
          <w:t>77</w:t>
        </w:r>
        <w:r>
          <w:rPr>
            <w:rFonts w:asciiTheme="minorHAnsi" w:eastAsiaTheme="minorEastAsia" w:hAnsiTheme="minorHAnsi" w:cstheme="minorBidi"/>
            <w:sz w:val="22"/>
            <w:szCs w:val="22"/>
            <w:lang w:eastAsia="en-AU"/>
          </w:rPr>
          <w:tab/>
        </w:r>
        <w:r w:rsidRPr="00FE2B3F">
          <w:t xml:space="preserve">Not gaming machines—Act, dict, def </w:t>
        </w:r>
        <w:r w:rsidRPr="00FE2B3F">
          <w:rPr>
            <w:i/>
          </w:rPr>
          <w:t>gaming machine</w:t>
        </w:r>
        <w:r>
          <w:tab/>
        </w:r>
        <w:r>
          <w:fldChar w:fldCharType="begin"/>
        </w:r>
        <w:r>
          <w:instrText xml:space="preserve"> PAGEREF _Toc532221281 \h </w:instrText>
        </w:r>
        <w:r>
          <w:fldChar w:fldCharType="separate"/>
        </w:r>
        <w:r w:rsidR="00FF3523">
          <w:t>54</w:t>
        </w:r>
        <w:r>
          <w:fldChar w:fldCharType="end"/>
        </w:r>
      </w:hyperlink>
    </w:p>
    <w:p w:rsidR="00653F6D" w:rsidRDefault="00CF7DD8">
      <w:pPr>
        <w:pStyle w:val="TOC6"/>
        <w:rPr>
          <w:rFonts w:asciiTheme="minorHAnsi" w:eastAsiaTheme="minorEastAsia" w:hAnsiTheme="minorHAnsi" w:cstheme="minorBidi"/>
          <w:b w:val="0"/>
          <w:sz w:val="22"/>
          <w:szCs w:val="22"/>
          <w:lang w:eastAsia="en-AU"/>
        </w:rPr>
      </w:pPr>
      <w:hyperlink w:anchor="_Toc532221282" w:history="1">
        <w:r w:rsidR="00653F6D" w:rsidRPr="00FE2B3F">
          <w:t>Dictionary</w:t>
        </w:r>
        <w:r w:rsidR="00653F6D">
          <w:tab/>
        </w:r>
        <w:r w:rsidR="00653F6D">
          <w:tab/>
        </w:r>
        <w:r w:rsidR="00653F6D" w:rsidRPr="00653F6D">
          <w:rPr>
            <w:b w:val="0"/>
            <w:sz w:val="20"/>
          </w:rPr>
          <w:fldChar w:fldCharType="begin"/>
        </w:r>
        <w:r w:rsidR="00653F6D" w:rsidRPr="00653F6D">
          <w:rPr>
            <w:b w:val="0"/>
            <w:sz w:val="20"/>
          </w:rPr>
          <w:instrText xml:space="preserve"> PAGEREF _Toc532221282 \h </w:instrText>
        </w:r>
        <w:r w:rsidR="00653F6D" w:rsidRPr="00653F6D">
          <w:rPr>
            <w:b w:val="0"/>
            <w:sz w:val="20"/>
          </w:rPr>
        </w:r>
        <w:r w:rsidR="00653F6D" w:rsidRPr="00653F6D">
          <w:rPr>
            <w:b w:val="0"/>
            <w:sz w:val="20"/>
          </w:rPr>
          <w:fldChar w:fldCharType="separate"/>
        </w:r>
        <w:r w:rsidR="00FF3523">
          <w:rPr>
            <w:b w:val="0"/>
            <w:sz w:val="20"/>
          </w:rPr>
          <w:t>56</w:t>
        </w:r>
        <w:r w:rsidR="00653F6D" w:rsidRPr="00653F6D">
          <w:rPr>
            <w:b w:val="0"/>
            <w:sz w:val="20"/>
          </w:rPr>
          <w:fldChar w:fldCharType="end"/>
        </w:r>
      </w:hyperlink>
    </w:p>
    <w:p w:rsidR="00653F6D" w:rsidRDefault="00CF7DD8" w:rsidP="00653F6D">
      <w:pPr>
        <w:pStyle w:val="TOC7"/>
        <w:spacing w:before="480"/>
        <w:rPr>
          <w:rFonts w:asciiTheme="minorHAnsi" w:eastAsiaTheme="minorEastAsia" w:hAnsiTheme="minorHAnsi" w:cstheme="minorBidi"/>
          <w:b w:val="0"/>
          <w:sz w:val="22"/>
          <w:szCs w:val="22"/>
          <w:lang w:eastAsia="en-AU"/>
        </w:rPr>
      </w:pPr>
      <w:hyperlink w:anchor="_Toc532221283" w:history="1">
        <w:r w:rsidR="00653F6D">
          <w:t>Endnotes</w:t>
        </w:r>
        <w:r w:rsidR="00653F6D" w:rsidRPr="00653F6D">
          <w:rPr>
            <w:vanish/>
          </w:rPr>
          <w:tab/>
        </w:r>
        <w:r w:rsidR="00653F6D" w:rsidRPr="00653F6D">
          <w:rPr>
            <w:b w:val="0"/>
            <w:vanish/>
          </w:rPr>
          <w:fldChar w:fldCharType="begin"/>
        </w:r>
        <w:r w:rsidR="00653F6D" w:rsidRPr="00653F6D">
          <w:rPr>
            <w:b w:val="0"/>
            <w:vanish/>
          </w:rPr>
          <w:instrText xml:space="preserve"> PAGEREF _Toc532221283 \h </w:instrText>
        </w:r>
        <w:r w:rsidR="00653F6D" w:rsidRPr="00653F6D">
          <w:rPr>
            <w:b w:val="0"/>
            <w:vanish/>
          </w:rPr>
        </w:r>
        <w:r w:rsidR="00653F6D" w:rsidRPr="00653F6D">
          <w:rPr>
            <w:b w:val="0"/>
            <w:vanish/>
          </w:rPr>
          <w:fldChar w:fldCharType="separate"/>
        </w:r>
        <w:r w:rsidR="00FF3523">
          <w:rPr>
            <w:b w:val="0"/>
            <w:vanish/>
          </w:rPr>
          <w:t>60</w:t>
        </w:r>
        <w:r w:rsidR="00653F6D" w:rsidRPr="00653F6D">
          <w:rPr>
            <w:b w:val="0"/>
            <w:vanish/>
          </w:rP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84" w:history="1">
        <w:r w:rsidRPr="00FE2B3F">
          <w:t>1</w:t>
        </w:r>
        <w:r>
          <w:rPr>
            <w:rFonts w:asciiTheme="minorHAnsi" w:eastAsiaTheme="minorEastAsia" w:hAnsiTheme="minorHAnsi" w:cstheme="minorBidi"/>
            <w:sz w:val="22"/>
            <w:szCs w:val="22"/>
            <w:lang w:eastAsia="en-AU"/>
          </w:rPr>
          <w:tab/>
        </w:r>
        <w:r w:rsidRPr="00FE2B3F">
          <w:t>About the endnotes</w:t>
        </w:r>
        <w:r>
          <w:tab/>
        </w:r>
        <w:r>
          <w:fldChar w:fldCharType="begin"/>
        </w:r>
        <w:r>
          <w:instrText xml:space="preserve"> PAGEREF _Toc532221284 \h </w:instrText>
        </w:r>
        <w:r>
          <w:fldChar w:fldCharType="separate"/>
        </w:r>
        <w:r w:rsidR="00FF3523">
          <w:t>60</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85" w:history="1">
        <w:r w:rsidRPr="00FE2B3F">
          <w:t>2</w:t>
        </w:r>
        <w:r>
          <w:rPr>
            <w:rFonts w:asciiTheme="minorHAnsi" w:eastAsiaTheme="minorEastAsia" w:hAnsiTheme="minorHAnsi" w:cstheme="minorBidi"/>
            <w:sz w:val="22"/>
            <w:szCs w:val="22"/>
            <w:lang w:eastAsia="en-AU"/>
          </w:rPr>
          <w:tab/>
        </w:r>
        <w:r w:rsidRPr="00FE2B3F">
          <w:t>Abbreviation key</w:t>
        </w:r>
        <w:r>
          <w:tab/>
        </w:r>
        <w:r>
          <w:fldChar w:fldCharType="begin"/>
        </w:r>
        <w:r>
          <w:instrText xml:space="preserve"> PAGEREF _Toc532221285 \h </w:instrText>
        </w:r>
        <w:r>
          <w:fldChar w:fldCharType="separate"/>
        </w:r>
        <w:r w:rsidR="00FF3523">
          <w:t>60</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86" w:history="1">
        <w:r w:rsidRPr="00FE2B3F">
          <w:t>3</w:t>
        </w:r>
        <w:r>
          <w:rPr>
            <w:rFonts w:asciiTheme="minorHAnsi" w:eastAsiaTheme="minorEastAsia" w:hAnsiTheme="minorHAnsi" w:cstheme="minorBidi"/>
            <w:sz w:val="22"/>
            <w:szCs w:val="22"/>
            <w:lang w:eastAsia="en-AU"/>
          </w:rPr>
          <w:tab/>
        </w:r>
        <w:r w:rsidRPr="00FE2B3F">
          <w:t>Legislation history</w:t>
        </w:r>
        <w:r>
          <w:tab/>
        </w:r>
        <w:r>
          <w:fldChar w:fldCharType="begin"/>
        </w:r>
        <w:r>
          <w:instrText xml:space="preserve"> PAGEREF _Toc532221286 \h </w:instrText>
        </w:r>
        <w:r>
          <w:fldChar w:fldCharType="separate"/>
        </w:r>
        <w:r w:rsidR="00FF3523">
          <w:t>61</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87" w:history="1">
        <w:r w:rsidRPr="00FE2B3F">
          <w:t>4</w:t>
        </w:r>
        <w:r>
          <w:rPr>
            <w:rFonts w:asciiTheme="minorHAnsi" w:eastAsiaTheme="minorEastAsia" w:hAnsiTheme="minorHAnsi" w:cstheme="minorBidi"/>
            <w:sz w:val="22"/>
            <w:szCs w:val="22"/>
            <w:lang w:eastAsia="en-AU"/>
          </w:rPr>
          <w:tab/>
        </w:r>
        <w:r w:rsidRPr="00FE2B3F">
          <w:t>Amendment history</w:t>
        </w:r>
        <w:r>
          <w:tab/>
        </w:r>
        <w:r>
          <w:fldChar w:fldCharType="begin"/>
        </w:r>
        <w:r>
          <w:instrText xml:space="preserve"> PAGEREF _Toc532221287 \h </w:instrText>
        </w:r>
        <w:r>
          <w:fldChar w:fldCharType="separate"/>
        </w:r>
        <w:r w:rsidR="00FF3523">
          <w:t>64</w:t>
        </w:r>
        <w:r>
          <w:fldChar w:fldCharType="end"/>
        </w:r>
      </w:hyperlink>
    </w:p>
    <w:p w:rsidR="00653F6D" w:rsidRDefault="00653F6D">
      <w:pPr>
        <w:pStyle w:val="TOC5"/>
        <w:rPr>
          <w:rFonts w:asciiTheme="minorHAnsi" w:eastAsiaTheme="minorEastAsia" w:hAnsiTheme="minorHAnsi" w:cstheme="minorBidi"/>
          <w:sz w:val="22"/>
          <w:szCs w:val="22"/>
          <w:lang w:eastAsia="en-AU"/>
        </w:rPr>
      </w:pPr>
      <w:r>
        <w:tab/>
      </w:r>
      <w:hyperlink w:anchor="_Toc532221288" w:history="1">
        <w:r w:rsidRPr="00FE2B3F">
          <w:t>5</w:t>
        </w:r>
        <w:r>
          <w:rPr>
            <w:rFonts w:asciiTheme="minorHAnsi" w:eastAsiaTheme="minorEastAsia" w:hAnsiTheme="minorHAnsi" w:cstheme="minorBidi"/>
            <w:sz w:val="22"/>
            <w:szCs w:val="22"/>
            <w:lang w:eastAsia="en-AU"/>
          </w:rPr>
          <w:tab/>
        </w:r>
        <w:r w:rsidRPr="00FE2B3F">
          <w:t>Earlier republications</w:t>
        </w:r>
        <w:r>
          <w:tab/>
        </w:r>
        <w:r>
          <w:fldChar w:fldCharType="begin"/>
        </w:r>
        <w:r>
          <w:instrText xml:space="preserve"> PAGEREF _Toc532221288 \h </w:instrText>
        </w:r>
        <w:r>
          <w:fldChar w:fldCharType="separate"/>
        </w:r>
        <w:r w:rsidR="00FF3523">
          <w:t>71</w:t>
        </w:r>
        <w:r>
          <w:fldChar w:fldCharType="end"/>
        </w:r>
      </w:hyperlink>
    </w:p>
    <w:p w:rsidR="00A12C50" w:rsidRDefault="00653F6D" w:rsidP="00A12C50">
      <w:pPr>
        <w:pStyle w:val="BillBasic"/>
      </w:pPr>
      <w:r>
        <w:fldChar w:fldCharType="end"/>
      </w:r>
    </w:p>
    <w:p w:rsidR="00A12C50" w:rsidRDefault="00A12C50" w:rsidP="00A12C50">
      <w:pPr>
        <w:pStyle w:val="01Contents"/>
        <w:sectPr w:rsidR="00A12C5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A12C50" w:rsidRDefault="00A12C50" w:rsidP="00A12C50">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12C50" w:rsidRDefault="00A12C50" w:rsidP="00A12C50">
      <w:pPr>
        <w:jc w:val="center"/>
        <w:rPr>
          <w:rFonts w:ascii="Arial" w:hAnsi="Arial"/>
        </w:rPr>
      </w:pPr>
      <w:r>
        <w:rPr>
          <w:rFonts w:ascii="Arial" w:hAnsi="Arial"/>
        </w:rPr>
        <w:t>Australian Capital Territory</w:t>
      </w:r>
    </w:p>
    <w:p w:rsidR="00A12C50" w:rsidRDefault="008070C0" w:rsidP="00A12C50">
      <w:pPr>
        <w:pStyle w:val="Billname"/>
      </w:pPr>
      <w:bookmarkStart w:id="7" w:name="Citation"/>
      <w:r>
        <w:t>Gaming Machine Regulation 2004</w:t>
      </w:r>
      <w:bookmarkEnd w:id="7"/>
      <w:r w:rsidR="00A12C50">
        <w:t xml:space="preserve">     </w:t>
      </w:r>
    </w:p>
    <w:p w:rsidR="00A12C50" w:rsidRDefault="00A12C50" w:rsidP="00A12C50">
      <w:pPr>
        <w:spacing w:before="240" w:after="60"/>
        <w:rPr>
          <w:rFonts w:ascii="Arial" w:hAnsi="Arial"/>
        </w:rPr>
      </w:pPr>
    </w:p>
    <w:p w:rsidR="00A12C50" w:rsidRDefault="00A12C50" w:rsidP="00A12C50">
      <w:pPr>
        <w:pStyle w:val="N-line3"/>
      </w:pPr>
    </w:p>
    <w:p w:rsidR="00A12C50" w:rsidRDefault="00A12C50" w:rsidP="00A12C50">
      <w:pPr>
        <w:pStyle w:val="CoverInForce"/>
      </w:pPr>
      <w:r>
        <w:t>made under the</w:t>
      </w:r>
    </w:p>
    <w:bookmarkStart w:id="8" w:name="ActName"/>
    <w:p w:rsidR="00A12C50" w:rsidRDefault="00F20944" w:rsidP="00A12C50">
      <w:pPr>
        <w:pStyle w:val="CoverActName"/>
      </w:pPr>
      <w:r w:rsidRPr="00A12C50">
        <w:rPr>
          <w:rStyle w:val="charCitHyperlinkAbbrev"/>
        </w:rPr>
        <w:fldChar w:fldCharType="begin"/>
      </w:r>
      <w:r w:rsidR="008070C0">
        <w:rPr>
          <w:rStyle w:val="charCitHyperlinkAbbrev"/>
        </w:rPr>
        <w:instrText>HYPERLINK "http://www.legislation.act.gov.au/a/2004-34" \o "A2004-34"</w:instrText>
      </w:r>
      <w:r w:rsidRPr="00A12C50">
        <w:rPr>
          <w:rStyle w:val="charCitHyperlinkAbbrev"/>
        </w:rPr>
        <w:fldChar w:fldCharType="separate"/>
      </w:r>
      <w:r w:rsidR="008070C0">
        <w:rPr>
          <w:rStyle w:val="charCitHyperlinkAbbrev"/>
        </w:rPr>
        <w:t>Gaming Machine Act 2004</w:t>
      </w:r>
      <w:r w:rsidRPr="00A12C50">
        <w:rPr>
          <w:rStyle w:val="charCitHyperlinkAbbrev"/>
        </w:rPr>
        <w:fldChar w:fldCharType="end"/>
      </w:r>
      <w:bookmarkEnd w:id="8"/>
    </w:p>
    <w:p w:rsidR="00A12C50" w:rsidRDefault="00A12C50" w:rsidP="00A12C50">
      <w:pPr>
        <w:pStyle w:val="N-line3"/>
      </w:pPr>
    </w:p>
    <w:p w:rsidR="00A12C50" w:rsidRDefault="00A12C50" w:rsidP="00A12C50">
      <w:pPr>
        <w:pStyle w:val="Placeholder"/>
      </w:pPr>
      <w:r>
        <w:rPr>
          <w:rStyle w:val="charContents"/>
          <w:sz w:val="16"/>
        </w:rPr>
        <w:t xml:space="preserve">  </w:t>
      </w:r>
      <w:r>
        <w:rPr>
          <w:rStyle w:val="charPage"/>
        </w:rPr>
        <w:t xml:space="preserve">  </w:t>
      </w:r>
    </w:p>
    <w:p w:rsidR="00A12C50" w:rsidRDefault="00A12C50" w:rsidP="00A12C50">
      <w:pPr>
        <w:pStyle w:val="Placeholder"/>
      </w:pPr>
      <w:r>
        <w:rPr>
          <w:rStyle w:val="CharChapNo"/>
        </w:rPr>
        <w:t xml:space="preserve">  </w:t>
      </w:r>
      <w:r>
        <w:rPr>
          <w:rStyle w:val="CharChapText"/>
        </w:rPr>
        <w:t xml:space="preserve">  </w:t>
      </w:r>
    </w:p>
    <w:p w:rsidR="00A12C50" w:rsidRDefault="00A12C50" w:rsidP="00A12C50">
      <w:pPr>
        <w:pStyle w:val="Placeholder"/>
      </w:pPr>
      <w:r>
        <w:rPr>
          <w:rStyle w:val="CharPartNo"/>
        </w:rPr>
        <w:t xml:space="preserve">  </w:t>
      </w:r>
      <w:r>
        <w:rPr>
          <w:rStyle w:val="CharPartText"/>
        </w:rPr>
        <w:t xml:space="preserve">  </w:t>
      </w:r>
    </w:p>
    <w:p w:rsidR="00A12C50" w:rsidRDefault="00A12C50" w:rsidP="00A12C50">
      <w:pPr>
        <w:pStyle w:val="Placeholder"/>
      </w:pPr>
      <w:r>
        <w:rPr>
          <w:rStyle w:val="CharDivNo"/>
        </w:rPr>
        <w:t xml:space="preserve">  </w:t>
      </w:r>
      <w:r>
        <w:rPr>
          <w:rStyle w:val="CharDivText"/>
        </w:rPr>
        <w:t xml:space="preserve">  </w:t>
      </w:r>
    </w:p>
    <w:p w:rsidR="00A12C50" w:rsidRDefault="00A12C50" w:rsidP="00A12C50">
      <w:pPr>
        <w:pStyle w:val="Placeholder"/>
      </w:pPr>
      <w:r>
        <w:rPr>
          <w:rStyle w:val="CharSectNo"/>
        </w:rPr>
        <w:t xml:space="preserve">  </w:t>
      </w:r>
    </w:p>
    <w:p w:rsidR="00A12C50" w:rsidRDefault="00A12C50" w:rsidP="00A12C50">
      <w:pPr>
        <w:pStyle w:val="PageBreak"/>
      </w:pPr>
      <w:r>
        <w:br w:type="page"/>
      </w:r>
    </w:p>
    <w:p w:rsidR="009720B3" w:rsidRPr="00B043CD" w:rsidRDefault="009720B3">
      <w:pPr>
        <w:pStyle w:val="AH2Part"/>
        <w:keepNext w:val="0"/>
      </w:pPr>
      <w:bookmarkStart w:id="9" w:name="_Toc532221187"/>
      <w:r w:rsidRPr="00B043CD">
        <w:rPr>
          <w:rStyle w:val="CharPartNo"/>
        </w:rPr>
        <w:lastRenderedPageBreak/>
        <w:t>Part 1</w:t>
      </w:r>
      <w:r>
        <w:tab/>
      </w:r>
      <w:r w:rsidRPr="00B043CD">
        <w:rPr>
          <w:rStyle w:val="CharPartText"/>
        </w:rPr>
        <w:t>Preliminary</w:t>
      </w:r>
      <w:bookmarkEnd w:id="9"/>
    </w:p>
    <w:p w:rsidR="009720B3" w:rsidRDefault="009720B3">
      <w:pPr>
        <w:pStyle w:val="AH5Sec"/>
      </w:pPr>
      <w:bookmarkStart w:id="10" w:name="_Toc532221188"/>
      <w:r w:rsidRPr="00B043CD">
        <w:rPr>
          <w:rStyle w:val="CharSectNo"/>
        </w:rPr>
        <w:t>1</w:t>
      </w:r>
      <w:r>
        <w:tab/>
        <w:t>Name of regulation</w:t>
      </w:r>
      <w:bookmarkEnd w:id="10"/>
    </w:p>
    <w:p w:rsidR="009720B3" w:rsidRDefault="009720B3">
      <w:pPr>
        <w:pStyle w:val="Amainreturn"/>
      </w:pPr>
      <w:r>
        <w:t xml:space="preserve">This regulation is the </w:t>
      </w:r>
      <w:r>
        <w:rPr>
          <w:rStyle w:val="charItals"/>
        </w:rPr>
        <w:t>Gaming Machine Regulation 2004</w:t>
      </w:r>
      <w:r>
        <w:rPr>
          <w:iCs/>
        </w:rPr>
        <w:t>.</w:t>
      </w:r>
    </w:p>
    <w:p w:rsidR="009720B3" w:rsidRDefault="009720B3">
      <w:pPr>
        <w:pStyle w:val="AH5Sec"/>
      </w:pPr>
      <w:bookmarkStart w:id="11" w:name="_Toc532221189"/>
      <w:r w:rsidRPr="00B043CD">
        <w:rPr>
          <w:rStyle w:val="CharSectNo"/>
        </w:rPr>
        <w:t>3</w:t>
      </w:r>
      <w:r>
        <w:tab/>
        <w:t>Dictionary</w:t>
      </w:r>
      <w:bookmarkEnd w:id="11"/>
    </w:p>
    <w:p w:rsidR="009720B3" w:rsidRDefault="009720B3">
      <w:pPr>
        <w:pStyle w:val="Amainreturn"/>
        <w:keepNext/>
      </w:pPr>
      <w:r>
        <w:t>The dictionary at the end of this regulation is part of this regulation.</w:t>
      </w:r>
    </w:p>
    <w:p w:rsidR="00950643" w:rsidRPr="00AE589E" w:rsidRDefault="00950643" w:rsidP="00950643">
      <w:pPr>
        <w:pStyle w:val="aNote"/>
        <w:keepNext/>
      </w:pPr>
      <w:r w:rsidRPr="00AE589E">
        <w:rPr>
          <w:rStyle w:val="charItals"/>
        </w:rPr>
        <w:t>Note 1</w:t>
      </w:r>
      <w:r w:rsidRPr="00AE589E">
        <w:tab/>
        <w:t>The dictionary at the end of this regulation defines certain terms used in this regulation, and includes references (</w:t>
      </w:r>
      <w:r w:rsidRPr="00AE589E">
        <w:rPr>
          <w:rStyle w:val="charBoldItals"/>
        </w:rPr>
        <w:t>signpost definitions</w:t>
      </w:r>
      <w:r w:rsidRPr="00AE589E">
        <w:t>) to other terms defined elsewhere.</w:t>
      </w:r>
    </w:p>
    <w:p w:rsidR="00950643" w:rsidRPr="00AE589E" w:rsidRDefault="00950643" w:rsidP="00950643">
      <w:pPr>
        <w:pStyle w:val="aNote"/>
      </w:pPr>
      <w:r w:rsidRPr="00AE589E">
        <w:tab/>
        <w:t>For example, the signpost definition ‘</w:t>
      </w:r>
      <w:r w:rsidRPr="00AE589E">
        <w:rPr>
          <w:rStyle w:val="charBoldItals"/>
        </w:rPr>
        <w:t>single-user approval</w:t>
      </w:r>
      <w:r w:rsidRPr="00AE589E">
        <w:t>, for part 8 (Linked-jackpot arrangements)—see section 40.’ means that the term ‘single-user approval’ is defined in that section.</w:t>
      </w:r>
    </w:p>
    <w:p w:rsidR="009720B3" w:rsidRDefault="009720B3">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0812EE" w:rsidRPr="000812EE">
          <w:rPr>
            <w:rStyle w:val="charCitHyperlinkAbbrev"/>
          </w:rPr>
          <w:t>Legislation Act</w:t>
        </w:r>
      </w:hyperlink>
      <w:r>
        <w:t>, s 155 and s 156 (1)).</w:t>
      </w:r>
    </w:p>
    <w:p w:rsidR="009720B3" w:rsidRDefault="009720B3">
      <w:pPr>
        <w:pStyle w:val="AH5Sec"/>
      </w:pPr>
      <w:bookmarkStart w:id="12" w:name="_Toc532221190"/>
      <w:r w:rsidRPr="00B043CD">
        <w:rPr>
          <w:rStyle w:val="CharSectNo"/>
        </w:rPr>
        <w:t>4</w:t>
      </w:r>
      <w:r>
        <w:tab/>
        <w:t>Notes</w:t>
      </w:r>
      <w:bookmarkEnd w:id="12"/>
    </w:p>
    <w:p w:rsidR="009720B3" w:rsidRDefault="009720B3">
      <w:pPr>
        <w:pStyle w:val="Amainreturn"/>
        <w:keepNext/>
      </w:pPr>
      <w:r>
        <w:t>A note included in this regulation is explanatory and is not part of this regulation.</w:t>
      </w:r>
    </w:p>
    <w:p w:rsidR="009720B3" w:rsidRDefault="009720B3">
      <w:pPr>
        <w:pStyle w:val="aNote"/>
      </w:pPr>
      <w:r>
        <w:rPr>
          <w:rStyle w:val="charItals"/>
        </w:rPr>
        <w:t>Note</w:t>
      </w:r>
      <w:r>
        <w:rPr>
          <w:rStyle w:val="charItals"/>
        </w:rPr>
        <w:tab/>
      </w:r>
      <w:r w:rsidR="006D3DA6">
        <w:t>See</w:t>
      </w:r>
      <w:r>
        <w:t xml:space="preserve"> the </w:t>
      </w:r>
      <w:hyperlink r:id="rId28" w:tooltip="A2001-14" w:history="1">
        <w:r w:rsidR="000812EE" w:rsidRPr="000812EE">
          <w:rPr>
            <w:rStyle w:val="charCitHyperlinkAbbrev"/>
          </w:rPr>
          <w:t>Legislation Act</w:t>
        </w:r>
      </w:hyperlink>
      <w:r>
        <w:t>, s 127 (1), (4) and (5) for the legal status of notes.</w:t>
      </w:r>
    </w:p>
    <w:p w:rsidR="009720B3" w:rsidRDefault="009720B3">
      <w:pPr>
        <w:pStyle w:val="AH5Sec"/>
      </w:pPr>
      <w:bookmarkStart w:id="13" w:name="_Toc532221191"/>
      <w:r w:rsidRPr="00B043CD">
        <w:rPr>
          <w:rStyle w:val="CharSectNo"/>
        </w:rPr>
        <w:lastRenderedPageBreak/>
        <w:t>5</w:t>
      </w:r>
      <w:r>
        <w:tab/>
        <w:t>Offences against regulation—application of Criminal Code etc</w:t>
      </w:r>
      <w:bookmarkEnd w:id="13"/>
    </w:p>
    <w:p w:rsidR="009720B3" w:rsidRDefault="009720B3">
      <w:pPr>
        <w:pStyle w:val="Amainreturn"/>
        <w:keepNext/>
      </w:pPr>
      <w:r>
        <w:t xml:space="preserve">Other legislation applies in relation to offences against this regulation. </w:t>
      </w:r>
    </w:p>
    <w:p w:rsidR="009720B3" w:rsidRDefault="009720B3">
      <w:pPr>
        <w:pStyle w:val="aNote"/>
        <w:keepNext/>
      </w:pPr>
      <w:r>
        <w:rPr>
          <w:rStyle w:val="charItals"/>
        </w:rPr>
        <w:t>Note 1</w:t>
      </w:r>
      <w:r>
        <w:tab/>
      </w:r>
      <w:r>
        <w:rPr>
          <w:rStyle w:val="charItals"/>
        </w:rPr>
        <w:t>Criminal Code</w:t>
      </w:r>
    </w:p>
    <w:p w:rsidR="009720B3" w:rsidRDefault="009720B3">
      <w:pPr>
        <w:pStyle w:val="aNote"/>
        <w:keepNext/>
        <w:spacing w:before="20"/>
        <w:ind w:firstLine="0"/>
      </w:pPr>
      <w:r>
        <w:t xml:space="preserve">The </w:t>
      </w:r>
      <w:hyperlink r:id="rId29" w:tooltip="A2002-51" w:history="1">
        <w:r w:rsidR="000812EE" w:rsidRPr="000812EE">
          <w:rPr>
            <w:rStyle w:val="charCitHyperlinkAbbrev"/>
          </w:rPr>
          <w:t>Criminal Code</w:t>
        </w:r>
      </w:hyperlink>
      <w:r>
        <w:t xml:space="preserve">, ch 2 applies to all offences against this regulation (see Code, pt 2.1).  </w:t>
      </w:r>
    </w:p>
    <w:p w:rsidR="009720B3" w:rsidRDefault="009720B3" w:rsidP="0056525D">
      <w:pPr>
        <w:pStyle w:val="aNoteTextss"/>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9720B3" w:rsidRDefault="009720B3">
      <w:pPr>
        <w:pStyle w:val="aNote"/>
        <w:rPr>
          <w:rStyle w:val="charItals"/>
        </w:rPr>
      </w:pPr>
      <w:r>
        <w:rPr>
          <w:rStyle w:val="charItals"/>
        </w:rPr>
        <w:t>Note 2</w:t>
      </w:r>
      <w:r>
        <w:rPr>
          <w:rStyle w:val="charItals"/>
        </w:rPr>
        <w:tab/>
        <w:t>Penalty units</w:t>
      </w:r>
    </w:p>
    <w:p w:rsidR="009720B3" w:rsidRDefault="009720B3">
      <w:pPr>
        <w:pStyle w:val="aNoteTextss"/>
      </w:pPr>
      <w:r>
        <w:t xml:space="preserve">The </w:t>
      </w:r>
      <w:hyperlink r:id="rId30" w:tooltip="A2001-14" w:history="1">
        <w:r w:rsidR="000812EE" w:rsidRPr="000812EE">
          <w:rPr>
            <w:rStyle w:val="charCitHyperlinkAbbrev"/>
          </w:rPr>
          <w:t>Legislation Act</w:t>
        </w:r>
      </w:hyperlink>
      <w:r>
        <w:t>, s 133 deals with the meaning of offence penalties that are expressed in penalty units.</w:t>
      </w:r>
    </w:p>
    <w:p w:rsidR="009720B3" w:rsidRDefault="009720B3">
      <w:pPr>
        <w:pStyle w:val="PageBreak"/>
      </w:pPr>
      <w:r>
        <w:br w:type="page"/>
      </w:r>
    </w:p>
    <w:p w:rsidR="00950643" w:rsidRPr="00B043CD" w:rsidRDefault="00950643" w:rsidP="00950643">
      <w:pPr>
        <w:pStyle w:val="AH2Part"/>
      </w:pPr>
      <w:bookmarkStart w:id="14" w:name="_Toc532221192"/>
      <w:r w:rsidRPr="00B043CD">
        <w:rPr>
          <w:rStyle w:val="CharPartNo"/>
        </w:rPr>
        <w:lastRenderedPageBreak/>
        <w:t>Part 2</w:t>
      </w:r>
      <w:r w:rsidRPr="00AE589E">
        <w:tab/>
      </w:r>
      <w:r w:rsidRPr="00B043CD">
        <w:rPr>
          <w:rStyle w:val="CharPartText"/>
        </w:rPr>
        <w:t>Licences and authorisations</w:t>
      </w:r>
      <w:bookmarkEnd w:id="14"/>
    </w:p>
    <w:p w:rsidR="00950643" w:rsidRPr="00AE589E" w:rsidRDefault="00950643" w:rsidP="00950643">
      <w:pPr>
        <w:pStyle w:val="AH5Sec"/>
      </w:pPr>
      <w:bookmarkStart w:id="15" w:name="_Toc532221193"/>
      <w:r w:rsidRPr="00B043CD">
        <w:rPr>
          <w:rStyle w:val="CharSectNo"/>
        </w:rPr>
        <w:t>6</w:t>
      </w:r>
      <w:r w:rsidRPr="00AE589E">
        <w:tab/>
        <w:t>Required documents for applications or notifications—Act, s 16 (i), s 22 (2) (e), s 28 (2) (h), s 38H (3) (b) and s 173D (2) (c)</w:t>
      </w:r>
      <w:bookmarkEnd w:id="15"/>
    </w:p>
    <w:p w:rsidR="00950643" w:rsidRPr="00AE589E" w:rsidRDefault="00950643" w:rsidP="00950643">
      <w:pPr>
        <w:pStyle w:val="Amain"/>
      </w:pPr>
      <w:r w:rsidRPr="00AE589E">
        <w:tab/>
        <w:t>(1)</w:t>
      </w:r>
      <w:r w:rsidRPr="00AE589E">
        <w:tab/>
        <w:t>This section applies to the following:</w:t>
      </w:r>
    </w:p>
    <w:p w:rsidR="00950643" w:rsidRPr="00AE589E" w:rsidRDefault="00950643" w:rsidP="00950643">
      <w:pPr>
        <w:pStyle w:val="Apara"/>
      </w:pPr>
      <w:r w:rsidRPr="00AE589E">
        <w:tab/>
        <w:t>(a)</w:t>
      </w:r>
      <w:r w:rsidRPr="00AE589E">
        <w:tab/>
        <w:t>a class C licence application;</w:t>
      </w:r>
    </w:p>
    <w:p w:rsidR="00950643" w:rsidRPr="00AE589E" w:rsidRDefault="00950643" w:rsidP="00950643">
      <w:pPr>
        <w:pStyle w:val="Apara"/>
      </w:pPr>
      <w:r w:rsidRPr="00AE589E">
        <w:tab/>
        <w:t>(b)</w:t>
      </w:r>
      <w:r w:rsidRPr="00AE589E">
        <w:tab/>
        <w:t>an authorisation certificate application for class C gaming machines;</w:t>
      </w:r>
    </w:p>
    <w:p w:rsidR="00950643" w:rsidRPr="00AE589E" w:rsidRDefault="00950643" w:rsidP="00950643">
      <w:pPr>
        <w:pStyle w:val="Apara"/>
      </w:pPr>
      <w:r w:rsidRPr="00AE589E">
        <w:tab/>
        <w:t>(c)</w:t>
      </w:r>
      <w:r w:rsidRPr="00AE589E">
        <w:tab/>
        <w:t>a class B licence and authorisation certificate application;</w:t>
      </w:r>
    </w:p>
    <w:p w:rsidR="00950643" w:rsidRPr="00AE589E" w:rsidRDefault="00950643" w:rsidP="00950643">
      <w:pPr>
        <w:pStyle w:val="Apara"/>
      </w:pPr>
      <w:r w:rsidRPr="00AE589E">
        <w:tab/>
        <w:t>(d)</w:t>
      </w:r>
      <w:r w:rsidRPr="00AE589E">
        <w:tab/>
        <w:t xml:space="preserve">a notification under the </w:t>
      </w:r>
      <w:hyperlink r:id="rId31" w:tooltip="A2004-34" w:history="1">
        <w:r w:rsidRPr="00AE589E">
          <w:rPr>
            <w:rStyle w:val="charCitHyperlinkAbbrev"/>
          </w:rPr>
          <w:t>Act</w:t>
        </w:r>
      </w:hyperlink>
      <w:r w:rsidRPr="00AE589E">
        <w:t xml:space="preserve">, section 173D (2) about a notifiable action under the </w:t>
      </w:r>
      <w:hyperlink r:id="rId32" w:tooltip="A2004-34" w:history="1">
        <w:r w:rsidRPr="00AE589E">
          <w:rPr>
            <w:rStyle w:val="charCitHyperlinkAbbrev"/>
          </w:rPr>
          <w:t>Act</w:t>
        </w:r>
      </w:hyperlink>
      <w:r w:rsidRPr="00AE589E">
        <w:t>, section 37E (1) to transfer an authorisation certificate to another licensee;</w:t>
      </w:r>
    </w:p>
    <w:p w:rsidR="00950643" w:rsidRPr="00AE589E" w:rsidRDefault="00950643" w:rsidP="00950643">
      <w:pPr>
        <w:pStyle w:val="Apara"/>
      </w:pPr>
      <w:r w:rsidRPr="00AE589E">
        <w:tab/>
        <w:t>(e)</w:t>
      </w:r>
      <w:r w:rsidRPr="00AE589E">
        <w:tab/>
        <w:t xml:space="preserve">an application under the </w:t>
      </w:r>
      <w:hyperlink r:id="rId33" w:tooltip="A2004-34" w:history="1">
        <w:r w:rsidRPr="00AE589E">
          <w:rPr>
            <w:rStyle w:val="charCitHyperlinkAbbrev"/>
          </w:rPr>
          <w:t>Act</w:t>
        </w:r>
      </w:hyperlink>
      <w:r w:rsidRPr="00AE589E">
        <w:t>, section 38H (3) (b) to transfer an in-principle authorisation certificate to someone else.</w:t>
      </w:r>
    </w:p>
    <w:p w:rsidR="00950643" w:rsidRPr="00AE589E" w:rsidRDefault="00950643" w:rsidP="00950643">
      <w:pPr>
        <w:pStyle w:val="aNote"/>
      </w:pPr>
      <w:r w:rsidRPr="00AE589E">
        <w:rPr>
          <w:rStyle w:val="charItals"/>
        </w:rPr>
        <w:t>Note</w:t>
      </w:r>
      <w:r w:rsidRPr="00AE589E">
        <w:rPr>
          <w:rStyle w:val="charItals"/>
        </w:rPr>
        <w:tab/>
      </w:r>
      <w:r w:rsidRPr="00AE589E">
        <w:t xml:space="preserve">This section will also apply to applications for in-principle approvals for authorisation certificates under the </w:t>
      </w:r>
      <w:hyperlink r:id="rId34" w:tooltip="A2004-34" w:history="1">
        <w:r w:rsidRPr="00AE589E">
          <w:rPr>
            <w:rStyle w:val="charCitHyperlinkAbbrev"/>
          </w:rPr>
          <w:t>Act</w:t>
        </w:r>
      </w:hyperlink>
      <w:r w:rsidRPr="00AE589E">
        <w:t xml:space="preserve">, s 38B (1) because those applications need to comply with the requirements of the </w:t>
      </w:r>
      <w:hyperlink r:id="rId35" w:tooltip="A2004-34" w:history="1">
        <w:r w:rsidRPr="00AE589E">
          <w:rPr>
            <w:rStyle w:val="charCitHyperlinkAbbrev"/>
          </w:rPr>
          <w:t>Act</w:t>
        </w:r>
      </w:hyperlink>
      <w:r w:rsidRPr="00AE589E">
        <w:t xml:space="preserve">, s 22 (1) (see </w:t>
      </w:r>
      <w:hyperlink r:id="rId36" w:tooltip="A2004-34" w:history="1">
        <w:r w:rsidRPr="00AE589E">
          <w:rPr>
            <w:rStyle w:val="charCitHyperlinkAbbrev"/>
          </w:rPr>
          <w:t>Act</w:t>
        </w:r>
      </w:hyperlink>
      <w:r w:rsidRPr="00AE589E">
        <w:t>, s 38C).</w:t>
      </w:r>
    </w:p>
    <w:p w:rsidR="00950643" w:rsidRPr="00AE589E" w:rsidRDefault="00950643" w:rsidP="00950643">
      <w:pPr>
        <w:pStyle w:val="Amain"/>
      </w:pPr>
      <w:r w:rsidRPr="00AE589E">
        <w:tab/>
        <w:t>(2)</w:t>
      </w:r>
      <w:r w:rsidRPr="00AE589E">
        <w:tab/>
        <w:t>The application or notification must be accompanied by any contractual arrangement, or proposed contractual arrangement, relating to the use of the premises to which the application or notification relates.</w:t>
      </w:r>
    </w:p>
    <w:p w:rsidR="00950643" w:rsidRPr="00AE589E" w:rsidRDefault="00950643" w:rsidP="00950643">
      <w:pPr>
        <w:pStyle w:val="aExamHdgss"/>
      </w:pPr>
      <w:r w:rsidRPr="00AE589E">
        <w:t>Example</w:t>
      </w:r>
    </w:p>
    <w:p w:rsidR="00950643" w:rsidRPr="00AE589E" w:rsidRDefault="00950643" w:rsidP="00950643">
      <w:pPr>
        <w:pStyle w:val="aExamss"/>
        <w:keepNext/>
      </w:pPr>
      <w:r w:rsidRPr="00AE589E">
        <w:t>a lease of the premises</w:t>
      </w:r>
    </w:p>
    <w:p w:rsidR="00950643" w:rsidRPr="00AE589E" w:rsidRDefault="00950643" w:rsidP="00950643">
      <w:pPr>
        <w:pStyle w:val="aNote"/>
      </w:pPr>
      <w:r w:rsidRPr="00AE589E">
        <w:rPr>
          <w:rStyle w:val="charItals"/>
        </w:rPr>
        <w:t>Note</w:t>
      </w:r>
      <w:r w:rsidRPr="00AE589E">
        <w:tab/>
        <w:t xml:space="preserve">An example is part of the regulation, is not exhaustive and may extend, but does not limit, the meaning of the provision in which it appears (see </w:t>
      </w:r>
      <w:hyperlink r:id="rId37" w:tooltip="A2001-14" w:history="1">
        <w:r w:rsidRPr="00AE589E">
          <w:rPr>
            <w:rStyle w:val="charCitHyperlinkAbbrev"/>
          </w:rPr>
          <w:t>Legislation Act</w:t>
        </w:r>
      </w:hyperlink>
      <w:r w:rsidRPr="00AE589E">
        <w:t>, s 126 and s 132).</w:t>
      </w:r>
    </w:p>
    <w:p w:rsidR="00950643" w:rsidRPr="00AE589E" w:rsidRDefault="00950643" w:rsidP="00AC1391">
      <w:pPr>
        <w:pStyle w:val="Amain"/>
        <w:keepNext/>
      </w:pPr>
      <w:r w:rsidRPr="00AE589E">
        <w:lastRenderedPageBreak/>
        <w:tab/>
        <w:t>(3)</w:t>
      </w:r>
      <w:r w:rsidRPr="00AE589E">
        <w:tab/>
        <w:t>A class C licence application or a class B licence and authorisation certificate application must be accompanied by—</w:t>
      </w:r>
    </w:p>
    <w:p w:rsidR="00950643" w:rsidRPr="00AE589E" w:rsidRDefault="00950643" w:rsidP="00950643">
      <w:pPr>
        <w:pStyle w:val="Apara"/>
      </w:pPr>
      <w:r w:rsidRPr="00AE589E">
        <w:tab/>
        <w:t>(a)</w:t>
      </w:r>
      <w:r w:rsidRPr="00AE589E">
        <w:tab/>
        <w:t>audited financial statements for the applicant for the 3 financial years before the day the application is made; or</w:t>
      </w:r>
    </w:p>
    <w:p w:rsidR="00950643" w:rsidRPr="00AE589E" w:rsidRDefault="00950643" w:rsidP="00950643">
      <w:pPr>
        <w:pStyle w:val="Apara"/>
      </w:pPr>
      <w:r w:rsidRPr="00AE589E">
        <w:tab/>
        <w:t>(b)</w:t>
      </w:r>
      <w:r w:rsidRPr="00AE589E">
        <w:tab/>
        <w:t>if the applicant has not been operating for the 3 financial years before the day the application is made—audited financial statements for the applicant for each of the financial years (if any) during which the applicant has operated.</w:t>
      </w:r>
    </w:p>
    <w:p w:rsidR="00950643" w:rsidRPr="00AE589E" w:rsidRDefault="00950643" w:rsidP="00950643">
      <w:pPr>
        <w:pStyle w:val="AH5Sec"/>
      </w:pPr>
      <w:bookmarkStart w:id="16" w:name="_Toc532221194"/>
      <w:r w:rsidRPr="00B043CD">
        <w:rPr>
          <w:rStyle w:val="CharSectNo"/>
        </w:rPr>
        <w:t>7</w:t>
      </w:r>
      <w:r w:rsidRPr="00AE589E">
        <w:tab/>
        <w:t>Working out club members—Act, s 23 (5) (c) and s 37 (5) (a)</w:t>
      </w:r>
      <w:bookmarkEnd w:id="16"/>
    </w:p>
    <w:p w:rsidR="009720B3" w:rsidRDefault="009720B3">
      <w:pPr>
        <w:pStyle w:val="Amain"/>
        <w:keepNext/>
      </w:pPr>
      <w:r>
        <w:tab/>
        <w:t>(1)</w:t>
      </w:r>
      <w:r>
        <w:tab/>
        <w:t>The number of club members for a stand-alone club is the number of fully-paid members of the club (including life members).</w:t>
      </w:r>
    </w:p>
    <w:p w:rsidR="009720B3" w:rsidRDefault="009720B3">
      <w:pPr>
        <w:pStyle w:val="aNote"/>
      </w:pPr>
      <w:r>
        <w:rPr>
          <w:rStyle w:val="charItals"/>
        </w:rPr>
        <w:t>Note</w:t>
      </w:r>
      <w:r w:rsidR="002C0630">
        <w:rPr>
          <w:rStyle w:val="charItals"/>
        </w:rPr>
        <w:t xml:space="preserve"> 1</w:t>
      </w:r>
      <w:r>
        <w:rPr>
          <w:rStyle w:val="charItals"/>
        </w:rPr>
        <w:tab/>
      </w:r>
      <w:r>
        <w:rPr>
          <w:rStyle w:val="charBoldItals"/>
        </w:rPr>
        <w:t>Stand-alone club</w:t>
      </w:r>
      <w:r>
        <w:t>—see s (3).</w:t>
      </w:r>
    </w:p>
    <w:p w:rsidR="002C0630" w:rsidRPr="001847A1" w:rsidRDefault="002C0630" w:rsidP="002C0630">
      <w:pPr>
        <w:pStyle w:val="aNote"/>
      </w:pPr>
      <w:r w:rsidRPr="001847A1">
        <w:rPr>
          <w:rStyle w:val="charItals"/>
        </w:rPr>
        <w:t>Note 2</w:t>
      </w:r>
      <w:r w:rsidRPr="001847A1">
        <w:rPr>
          <w:rStyle w:val="charItals"/>
        </w:rPr>
        <w:tab/>
      </w:r>
      <w:r w:rsidRPr="001847A1">
        <w:rPr>
          <w:rStyle w:val="charBoldItals"/>
        </w:rPr>
        <w:t>Member</w:t>
      </w:r>
      <w:r w:rsidRPr="001847A1">
        <w:t xml:space="preserve">, of a club, does not include a temporary member (see </w:t>
      </w:r>
      <w:hyperlink r:id="rId38" w:tooltip="A2004-34" w:history="1">
        <w:r w:rsidRPr="001847A1">
          <w:rPr>
            <w:rStyle w:val="charCitHyperlinkAbbrev"/>
          </w:rPr>
          <w:t>Act</w:t>
        </w:r>
      </w:hyperlink>
      <w:r w:rsidRPr="001847A1">
        <w:t>, dict).</w:t>
      </w:r>
    </w:p>
    <w:p w:rsidR="009720B3" w:rsidRDefault="009720B3">
      <w:pPr>
        <w:pStyle w:val="Amain"/>
        <w:keepNext/>
      </w:pPr>
      <w:r>
        <w:tab/>
        <w:t>(2)</w:t>
      </w:r>
      <w:r>
        <w:tab/>
        <w:t>The number of club members for a club with a membership agreement is the number worked out in accordance with the following formula:</w:t>
      </w:r>
    </w:p>
    <w:p w:rsidR="009720B3" w:rsidRDefault="003F2163">
      <w:pPr>
        <w:pStyle w:val="Formula"/>
      </w:pPr>
      <w:r>
        <w:rPr>
          <w:noProof/>
          <w:position w:val="-24"/>
          <w:lang w:eastAsia="en-AU"/>
        </w:rPr>
        <w:drawing>
          <wp:inline distT="0" distB="0" distL="0" distR="0">
            <wp:extent cx="647700" cy="39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srcRect/>
                    <a:stretch>
                      <a:fillRect/>
                    </a:stretch>
                  </pic:blipFill>
                  <pic:spPr bwMode="auto">
                    <a:xfrm>
                      <a:off x="0" y="0"/>
                      <a:ext cx="647700" cy="390525"/>
                    </a:xfrm>
                    <a:prstGeom prst="rect">
                      <a:avLst/>
                    </a:prstGeom>
                    <a:noFill/>
                    <a:ln w="9525">
                      <a:noFill/>
                      <a:miter lim="800000"/>
                      <a:headEnd/>
                      <a:tailEnd/>
                    </a:ln>
                  </pic:spPr>
                </pic:pic>
              </a:graphicData>
            </a:graphic>
          </wp:inline>
        </w:drawing>
      </w:r>
    </w:p>
    <w:p w:rsidR="009720B3" w:rsidRDefault="009720B3">
      <w:pPr>
        <w:pStyle w:val="Amain"/>
        <w:keepNext/>
      </w:pPr>
      <w:r>
        <w:tab/>
        <w:t>(3)</w:t>
      </w:r>
      <w:r>
        <w:tab/>
        <w:t>In this section:</w:t>
      </w:r>
    </w:p>
    <w:p w:rsidR="00950643" w:rsidRPr="00AE589E" w:rsidRDefault="00950643" w:rsidP="00950643">
      <w:pPr>
        <w:pStyle w:val="aDef"/>
      </w:pPr>
      <w:r w:rsidRPr="00AE589E">
        <w:rPr>
          <w:rStyle w:val="charBoldItals"/>
        </w:rPr>
        <w:t>GM</w:t>
      </w:r>
      <w:r w:rsidRPr="00AE589E">
        <w:t>, for a club, means—</w:t>
      </w:r>
    </w:p>
    <w:p w:rsidR="00950643" w:rsidRPr="00AE589E" w:rsidRDefault="00950643" w:rsidP="00950643">
      <w:pPr>
        <w:pStyle w:val="aDefpara"/>
      </w:pPr>
      <w:r w:rsidRPr="00AE589E">
        <w:tab/>
        <w:t>(a)</w:t>
      </w:r>
      <w:r w:rsidRPr="00AE589E">
        <w:tab/>
        <w:t>for an authorisation certificate application for class C gaming machines—the maximum number of authorisations for class C gaming machines the club has applied for; or</w:t>
      </w:r>
    </w:p>
    <w:p w:rsidR="00950643" w:rsidRPr="00AE589E" w:rsidRDefault="00950643" w:rsidP="00EE3EA5">
      <w:pPr>
        <w:pStyle w:val="aDefpara"/>
        <w:keepLines/>
      </w:pPr>
      <w:r w:rsidRPr="00AE589E">
        <w:tab/>
        <w:t>(b)</w:t>
      </w:r>
      <w:r w:rsidRPr="00AE589E">
        <w:tab/>
        <w:t>for an authorisation certificate amendment application for an increase maximum amendment of an authorisation certificate—the maximum number of authorisations for gaming machines that would be allowed at the premises to which the authorisation certificate relates, if the application were approved.</w:t>
      </w:r>
    </w:p>
    <w:p w:rsidR="009720B3" w:rsidRDefault="009720B3">
      <w:pPr>
        <w:pStyle w:val="aDef"/>
        <w:keepNext/>
      </w:pPr>
      <w:r>
        <w:rPr>
          <w:rStyle w:val="charBoldItals"/>
        </w:rPr>
        <w:lastRenderedPageBreak/>
        <w:t>membership agreement</w:t>
      </w:r>
      <w:r>
        <w:t xml:space="preserve"> means an agreement between clubs under which—</w:t>
      </w:r>
    </w:p>
    <w:p w:rsidR="009720B3" w:rsidRDefault="009720B3">
      <w:pPr>
        <w:pStyle w:val="aDefpara"/>
      </w:pPr>
      <w:r>
        <w:tab/>
        <w:t>(a)</w:t>
      </w:r>
      <w:r>
        <w:tab/>
        <w:t>a member of a club is a member of another club; or</w:t>
      </w:r>
    </w:p>
    <w:p w:rsidR="009720B3" w:rsidRDefault="009720B3">
      <w:pPr>
        <w:pStyle w:val="aDefpara"/>
      </w:pPr>
      <w:r>
        <w:tab/>
        <w:t>(b)</w:t>
      </w:r>
      <w:r>
        <w:tab/>
        <w:t>a member of a club may become a member of another club without charge.</w:t>
      </w:r>
    </w:p>
    <w:p w:rsidR="009720B3" w:rsidRDefault="009720B3">
      <w:pPr>
        <w:pStyle w:val="aDef"/>
        <w:keepNext/>
      </w:pPr>
      <w:r>
        <w:rPr>
          <w:rStyle w:val="charBoldItals"/>
        </w:rPr>
        <w:t>stand-alone club</w:t>
      </w:r>
      <w:r>
        <w:t xml:space="preserve"> means a club that does not have a membership agreement with any other club.</w:t>
      </w:r>
    </w:p>
    <w:p w:rsidR="00950643" w:rsidRPr="00AE589E" w:rsidRDefault="00950643" w:rsidP="00950643">
      <w:pPr>
        <w:pStyle w:val="aDef"/>
      </w:pPr>
      <w:r w:rsidRPr="00AE589E">
        <w:rPr>
          <w:rStyle w:val="charBoldItals"/>
        </w:rPr>
        <w:t>TGM</w:t>
      </w:r>
      <w:r w:rsidRPr="00AE589E">
        <w:t>, for a club, means—</w:t>
      </w:r>
    </w:p>
    <w:p w:rsidR="00950643" w:rsidRPr="00AE589E" w:rsidRDefault="00950643" w:rsidP="00950643">
      <w:pPr>
        <w:pStyle w:val="aDefpara"/>
      </w:pPr>
      <w:r w:rsidRPr="00AE589E">
        <w:tab/>
        <w:t>(a)</w:t>
      </w:r>
      <w:r w:rsidRPr="00AE589E">
        <w:tab/>
        <w:t>for an authorisation certificate application for class C gaming machines for particular premises—the total of—</w:t>
      </w:r>
    </w:p>
    <w:p w:rsidR="00950643" w:rsidRPr="00AE589E" w:rsidRDefault="00950643" w:rsidP="00950643">
      <w:pPr>
        <w:pStyle w:val="aDefsubpara"/>
      </w:pPr>
      <w:r w:rsidRPr="00AE589E">
        <w:tab/>
        <w:t>(i)</w:t>
      </w:r>
      <w:r w:rsidRPr="00AE589E">
        <w:tab/>
        <w:t>the maximum number of authorisations for class C gaming machines applied for in relation to the premises; and</w:t>
      </w:r>
    </w:p>
    <w:p w:rsidR="00950643" w:rsidRPr="00AE589E" w:rsidRDefault="00950643" w:rsidP="00950643">
      <w:pPr>
        <w:pStyle w:val="aDefsubpara"/>
      </w:pPr>
      <w:r w:rsidRPr="00AE589E">
        <w:tab/>
        <w:t>(ii)</w:t>
      </w:r>
      <w:r w:rsidRPr="00AE589E">
        <w:tab/>
        <w:t>the maximum number of authorisations for class C gaming machines that the club holds in relation to any other premises; and</w:t>
      </w:r>
    </w:p>
    <w:p w:rsidR="00950643" w:rsidRPr="00AE589E" w:rsidRDefault="00950643" w:rsidP="00950643">
      <w:pPr>
        <w:pStyle w:val="aDefsubpara"/>
      </w:pPr>
      <w:r w:rsidRPr="00AE589E">
        <w:tab/>
        <w:t>(iii)</w:t>
      </w:r>
      <w:r w:rsidRPr="00AE589E">
        <w:tab/>
        <w:t xml:space="preserve">the maximum number of authorisations for class C gaming machines that each club with which the club has a membership agreement (the </w:t>
      </w:r>
      <w:r w:rsidRPr="00AE589E">
        <w:rPr>
          <w:rStyle w:val="charBoldItals"/>
        </w:rPr>
        <w:t>associated club</w:t>
      </w:r>
      <w:r w:rsidRPr="00AE589E">
        <w:t>) has under authorisation certificates held by the associated club; or</w:t>
      </w:r>
    </w:p>
    <w:p w:rsidR="00950643" w:rsidRPr="00AE589E" w:rsidRDefault="00950643" w:rsidP="00EE3EA5">
      <w:pPr>
        <w:pStyle w:val="aDefpara"/>
        <w:keepNext/>
      </w:pPr>
      <w:r w:rsidRPr="00AE589E">
        <w:tab/>
        <w:t>(b)</w:t>
      </w:r>
      <w:r w:rsidRPr="00AE589E">
        <w:tab/>
        <w:t>for an authorisation certificate amendment application for an increase maximum amendment of an authorisation certificate—the total of—</w:t>
      </w:r>
    </w:p>
    <w:p w:rsidR="00950643" w:rsidRPr="00AE589E" w:rsidRDefault="00950643" w:rsidP="00950643">
      <w:pPr>
        <w:pStyle w:val="aDefsubpara"/>
      </w:pPr>
      <w:r w:rsidRPr="00AE589E">
        <w:tab/>
        <w:t>(i)</w:t>
      </w:r>
      <w:r w:rsidRPr="00AE589E">
        <w:tab/>
        <w:t>the maximum number of authorisations for class C gaming machines that the club would be allowed to hold under the authorisation certificate if the application were approved; and</w:t>
      </w:r>
    </w:p>
    <w:p w:rsidR="00950643" w:rsidRPr="00AE589E" w:rsidRDefault="00950643" w:rsidP="00950643">
      <w:pPr>
        <w:pStyle w:val="aDefsubpara"/>
      </w:pPr>
      <w:r w:rsidRPr="00AE589E">
        <w:tab/>
        <w:t>(ii)</w:t>
      </w:r>
      <w:r w:rsidRPr="00AE589E">
        <w:tab/>
        <w:t>the maximum number of authorisations for class C gaming machines that the club holds under all other authorisation certificates held by the club; and</w:t>
      </w:r>
    </w:p>
    <w:p w:rsidR="00950643" w:rsidRPr="00AE589E" w:rsidRDefault="00950643" w:rsidP="00950643">
      <w:pPr>
        <w:pStyle w:val="aDefsubpara"/>
      </w:pPr>
      <w:r w:rsidRPr="00AE589E">
        <w:lastRenderedPageBreak/>
        <w:tab/>
        <w:t>(iii)</w:t>
      </w:r>
      <w:r w:rsidRPr="00AE589E">
        <w:tab/>
        <w:t xml:space="preserve">the maximum number of authorisations for class C gaming machines that each club with which the club has a membership agreement (the </w:t>
      </w:r>
      <w:r w:rsidRPr="00AE589E">
        <w:rPr>
          <w:rStyle w:val="charBoldItals"/>
        </w:rPr>
        <w:t>associated club</w:t>
      </w:r>
      <w:r w:rsidRPr="00AE589E">
        <w:t>) holds under all authorisation certificates held by the associated club.</w:t>
      </w:r>
    </w:p>
    <w:p w:rsidR="009720B3" w:rsidRDefault="009720B3">
      <w:pPr>
        <w:pStyle w:val="aDef"/>
        <w:keepNext/>
      </w:pPr>
      <w:r>
        <w:rPr>
          <w:rStyle w:val="charBoldItals"/>
        </w:rPr>
        <w:t>TM</w:t>
      </w:r>
      <w:r>
        <w:t>, for a club, means the total membership of the club and each other club with which it has a membership agreement.</w:t>
      </w:r>
    </w:p>
    <w:p w:rsidR="00950643" w:rsidRPr="00AE589E" w:rsidRDefault="00950643" w:rsidP="00950643">
      <w:pPr>
        <w:pStyle w:val="aNote"/>
      </w:pPr>
      <w:r w:rsidRPr="00AE589E">
        <w:rPr>
          <w:rStyle w:val="charItals"/>
        </w:rPr>
        <w:t>Note</w:t>
      </w:r>
      <w:r w:rsidRPr="00AE589E">
        <w:rPr>
          <w:rStyle w:val="charItals"/>
        </w:rPr>
        <w:tab/>
      </w:r>
      <w:r w:rsidRPr="00AE589E">
        <w:t xml:space="preserve">This section will also apply to applications to convert an in-principle authorisation certificate to an authorisation certificate under the </w:t>
      </w:r>
      <w:hyperlink r:id="rId40" w:tooltip="A2004-34" w:history="1">
        <w:r w:rsidRPr="00AE589E">
          <w:rPr>
            <w:rStyle w:val="charCitHyperlinkAbbrev"/>
          </w:rPr>
          <w:t>Act</w:t>
        </w:r>
      </w:hyperlink>
      <w:r w:rsidRPr="00AE589E">
        <w:t xml:space="preserve">, s 38N, because the commission needs to consider whether it would issue an authorisation certificate under s 23 (see </w:t>
      </w:r>
      <w:hyperlink r:id="rId41" w:tooltip="A2004-34" w:history="1">
        <w:r w:rsidRPr="00AE589E">
          <w:rPr>
            <w:rStyle w:val="charCitHyperlinkAbbrev"/>
          </w:rPr>
          <w:t>Act</w:t>
        </w:r>
      </w:hyperlink>
      <w:r w:rsidRPr="00AE589E">
        <w:t>, s 38N (4) (b)).</w:t>
      </w:r>
    </w:p>
    <w:p w:rsidR="00950643" w:rsidRPr="00AE589E" w:rsidRDefault="00950643" w:rsidP="00950643">
      <w:pPr>
        <w:pStyle w:val="AH5Sec"/>
      </w:pPr>
      <w:bookmarkStart w:id="17" w:name="_Toc532221195"/>
      <w:r w:rsidRPr="00B043CD">
        <w:rPr>
          <w:rStyle w:val="CharSectNo"/>
        </w:rPr>
        <w:t>8</w:t>
      </w:r>
      <w:r w:rsidRPr="00AE589E">
        <w:tab/>
        <w:t>Other requirements for form of authorisation schedule for class C gaming machines—Act, s 27 (2)</w:t>
      </w:r>
      <w:bookmarkEnd w:id="17"/>
    </w:p>
    <w:p w:rsidR="00950643" w:rsidRPr="00AE589E" w:rsidRDefault="00950643" w:rsidP="00950643">
      <w:pPr>
        <w:pStyle w:val="Amainreturn"/>
      </w:pPr>
      <w:r w:rsidRPr="00AE589E">
        <w:t>An authorisation schedule must contain, in addition to the serial number for each gaming machine under the authorisation certificate, the following information for each gaming machine:</w:t>
      </w:r>
    </w:p>
    <w:p w:rsidR="00950643" w:rsidRPr="00AE589E" w:rsidRDefault="00950643" w:rsidP="00950643">
      <w:pPr>
        <w:pStyle w:val="Apara"/>
      </w:pPr>
      <w:r w:rsidRPr="00AE589E">
        <w:tab/>
        <w:t>(a)</w:t>
      </w:r>
      <w:r w:rsidRPr="00AE589E">
        <w:tab/>
        <w:t>the name of the game installed in the gaming machine;</w:t>
      </w:r>
    </w:p>
    <w:p w:rsidR="00950643" w:rsidRPr="00AE589E" w:rsidRDefault="00950643" w:rsidP="00950643">
      <w:pPr>
        <w:pStyle w:val="Apara"/>
      </w:pPr>
      <w:r w:rsidRPr="00AE589E">
        <w:tab/>
        <w:t>(b)</w:t>
      </w:r>
      <w:r w:rsidRPr="00AE589E">
        <w:tab/>
        <w:t>its basic stake denomination;</w:t>
      </w:r>
    </w:p>
    <w:p w:rsidR="00950643" w:rsidRPr="00AE589E" w:rsidRDefault="00950643" w:rsidP="00950643">
      <w:pPr>
        <w:pStyle w:val="Apara"/>
      </w:pPr>
      <w:r w:rsidRPr="00AE589E">
        <w:tab/>
        <w:t>(c)</w:t>
      </w:r>
      <w:r w:rsidRPr="00AE589E">
        <w:tab/>
        <w:t>the percentage payout for the gaming machine;</w:t>
      </w:r>
    </w:p>
    <w:p w:rsidR="00950643" w:rsidRPr="00AE589E" w:rsidRDefault="00950643" w:rsidP="00EE3EA5">
      <w:pPr>
        <w:pStyle w:val="Apara"/>
        <w:keepNext/>
      </w:pPr>
      <w:r w:rsidRPr="00AE589E">
        <w:tab/>
        <w:t>(d)</w:t>
      </w:r>
      <w:r w:rsidRPr="00AE589E">
        <w:tab/>
        <w:t>whether the gaming machine is part of a linked-jackpot arrangement;</w:t>
      </w:r>
    </w:p>
    <w:p w:rsidR="00950643" w:rsidRPr="00AE589E" w:rsidRDefault="00950643" w:rsidP="00950643">
      <w:pPr>
        <w:pStyle w:val="Apara"/>
      </w:pPr>
      <w:r w:rsidRPr="00AE589E">
        <w:tab/>
        <w:t>(e)</w:t>
      </w:r>
      <w:r w:rsidRPr="00AE589E">
        <w:tab/>
        <w:t>if the gaming machine is part of a linked-jackpot arrangement—the percentage contribution from the gaming machine to the linked jackpot.</w:t>
      </w:r>
    </w:p>
    <w:p w:rsidR="009720B3" w:rsidRDefault="009720B3">
      <w:pPr>
        <w:pStyle w:val="PageBreak"/>
      </w:pPr>
      <w:r>
        <w:br w:type="page"/>
      </w:r>
    </w:p>
    <w:p w:rsidR="009720B3" w:rsidRDefault="009720B3">
      <w:pPr>
        <w:pStyle w:val="PageBreak"/>
      </w:pPr>
    </w:p>
    <w:p w:rsidR="009720B3" w:rsidRPr="00B043CD" w:rsidRDefault="009720B3">
      <w:pPr>
        <w:pStyle w:val="AH2Part"/>
      </w:pPr>
      <w:bookmarkStart w:id="18" w:name="_Toc532221196"/>
      <w:r w:rsidRPr="00B043CD">
        <w:rPr>
          <w:rStyle w:val="CharPartNo"/>
        </w:rPr>
        <w:t>Part 3</w:t>
      </w:r>
      <w:r>
        <w:tab/>
      </w:r>
      <w:r w:rsidRPr="00B043CD">
        <w:rPr>
          <w:rStyle w:val="CharPartText"/>
        </w:rPr>
        <w:t>Social impact assessments</w:t>
      </w:r>
      <w:bookmarkEnd w:id="18"/>
    </w:p>
    <w:p w:rsidR="009720B3" w:rsidRDefault="009720B3">
      <w:pPr>
        <w:pStyle w:val="AH5Sec"/>
      </w:pPr>
      <w:bookmarkStart w:id="19" w:name="_Toc532221197"/>
      <w:r w:rsidRPr="00B043CD">
        <w:rPr>
          <w:rStyle w:val="CharSectNo"/>
        </w:rPr>
        <w:t>9</w:t>
      </w:r>
      <w:r>
        <w:tab/>
        <w:t>Definitions—pt 3</w:t>
      </w:r>
      <w:bookmarkEnd w:id="19"/>
    </w:p>
    <w:p w:rsidR="009720B3" w:rsidRDefault="009720B3">
      <w:pPr>
        <w:pStyle w:val="Amainreturn"/>
        <w:keepNext/>
      </w:pPr>
      <w:r>
        <w:t>In this part:</w:t>
      </w:r>
    </w:p>
    <w:p w:rsidR="009720B3" w:rsidRDefault="009720B3">
      <w:pPr>
        <w:pStyle w:val="aDef"/>
        <w:keepNext/>
        <w:rPr>
          <w:rFonts w:ascii="Times New (W1)" w:hAnsi="Times New (W1)"/>
        </w:rPr>
      </w:pPr>
      <w:r>
        <w:rPr>
          <w:rStyle w:val="charBoldItals"/>
        </w:rPr>
        <w:t>gaming machine proposal</w:t>
      </w:r>
      <w:r>
        <w:t xml:space="preserve">, for a social impact assessment—see </w:t>
      </w:r>
      <w:r>
        <w:rPr>
          <w:rFonts w:ascii="Times New (W1)" w:hAnsi="Times New (W1)"/>
        </w:rPr>
        <w:t>section 10 (2).</w:t>
      </w:r>
    </w:p>
    <w:p w:rsidR="009720B3" w:rsidRDefault="009720B3">
      <w:pPr>
        <w:pStyle w:val="aDef"/>
        <w:keepNext/>
      </w:pPr>
      <w:r>
        <w:rPr>
          <w:rStyle w:val="charBoldItals"/>
        </w:rPr>
        <w:t>local community</w:t>
      </w:r>
      <w:r>
        <w:t xml:space="preserve">, for a social impact </w:t>
      </w:r>
      <w:r w:rsidR="009D7FB1" w:rsidRPr="00A01D89">
        <w:t>assessment</w:t>
      </w:r>
      <w:r>
        <w:t>,</w:t>
      </w:r>
      <w:r w:rsidRPr="000812EE">
        <w:t xml:space="preserve"> </w:t>
      </w:r>
      <w:r>
        <w:t>means the community within 3km of the relevant premises.</w:t>
      </w:r>
    </w:p>
    <w:p w:rsidR="00D4330C" w:rsidRPr="00AE589E" w:rsidRDefault="00D4330C" w:rsidP="00D4330C">
      <w:pPr>
        <w:pStyle w:val="aDef"/>
      </w:pPr>
      <w:r w:rsidRPr="00AE589E">
        <w:rPr>
          <w:rStyle w:val="charBoldItals"/>
        </w:rPr>
        <w:t>relevant gaming machine application</w:t>
      </w:r>
      <w:r w:rsidRPr="00AE589E">
        <w:t xml:space="preserve"> means any of the following: </w:t>
      </w:r>
    </w:p>
    <w:p w:rsidR="00D4330C" w:rsidRPr="00AE589E" w:rsidRDefault="00D4330C" w:rsidP="00D4330C">
      <w:pPr>
        <w:pStyle w:val="aDefpara"/>
      </w:pPr>
      <w:r w:rsidRPr="00AE589E">
        <w:tab/>
        <w:t>(a)</w:t>
      </w:r>
      <w:r w:rsidRPr="00AE589E">
        <w:tab/>
        <w:t>an authorisation certificate application;</w:t>
      </w:r>
    </w:p>
    <w:p w:rsidR="00D4330C" w:rsidRPr="00AE589E" w:rsidRDefault="00D4330C" w:rsidP="00D4330C">
      <w:pPr>
        <w:pStyle w:val="aDefpara"/>
      </w:pPr>
      <w:r w:rsidRPr="00AE589E">
        <w:tab/>
        <w:t>(b)</w:t>
      </w:r>
      <w:r w:rsidRPr="00AE589E">
        <w:tab/>
        <w:t>an authorisation certificate amendment application for a premises relocation amendment in relation to relocating all gaming machine operations to new premises in another suburb;</w:t>
      </w:r>
    </w:p>
    <w:p w:rsidR="00D4330C" w:rsidRPr="00AE589E" w:rsidRDefault="00D4330C" w:rsidP="00D4330C">
      <w:pPr>
        <w:pStyle w:val="aDefpara"/>
      </w:pPr>
      <w:r w:rsidRPr="00AE589E">
        <w:tab/>
        <w:t>(c)</w:t>
      </w:r>
      <w:r w:rsidRPr="00AE589E">
        <w:tab/>
        <w:t>an authorisation certificate amendment application for an increase maximum amendment;</w:t>
      </w:r>
    </w:p>
    <w:p w:rsidR="00D4330C" w:rsidRPr="00AE589E" w:rsidRDefault="00D4330C" w:rsidP="00D4330C">
      <w:pPr>
        <w:pStyle w:val="aDefpara"/>
      </w:pPr>
      <w:r w:rsidRPr="00AE589E">
        <w:tab/>
        <w:t>(d)</w:t>
      </w:r>
      <w:r w:rsidRPr="00AE589E">
        <w:tab/>
        <w:t>an application for an in-principle authorisation certificate.</w:t>
      </w:r>
    </w:p>
    <w:p w:rsidR="00D4330C" w:rsidRPr="00AE589E" w:rsidRDefault="00D4330C" w:rsidP="00D4330C">
      <w:pPr>
        <w:pStyle w:val="aDef"/>
      </w:pPr>
      <w:r w:rsidRPr="00AE589E">
        <w:rPr>
          <w:rStyle w:val="charBoldItals"/>
        </w:rPr>
        <w:t>relevant premises</w:t>
      </w:r>
      <w:r w:rsidRPr="00AE589E">
        <w:t>, for a social impact assessment, means—</w:t>
      </w:r>
    </w:p>
    <w:p w:rsidR="00D4330C" w:rsidRPr="00AE589E" w:rsidRDefault="00D4330C" w:rsidP="00D4330C">
      <w:pPr>
        <w:pStyle w:val="aDefpara"/>
      </w:pPr>
      <w:r w:rsidRPr="00AE589E">
        <w:tab/>
        <w:t>(a)</w:t>
      </w:r>
      <w:r w:rsidRPr="00AE589E">
        <w:tab/>
        <w:t>for an authorisation certificate application or an authorisation certificate amendment application for an increase maximum amendment—the premises to which the application relates; or</w:t>
      </w:r>
    </w:p>
    <w:p w:rsidR="00D4330C" w:rsidRPr="00AE589E" w:rsidRDefault="00D4330C" w:rsidP="00D4330C">
      <w:pPr>
        <w:pStyle w:val="aDefpara"/>
      </w:pPr>
      <w:r w:rsidRPr="00AE589E">
        <w:tab/>
        <w:t>(b)</w:t>
      </w:r>
      <w:r w:rsidRPr="00AE589E">
        <w:tab/>
        <w:t>for an authorisation certificate amendment application for a premises relocation amendment in relation to relocating all gaming machine operations to new premises in another suburb—the new premises; or</w:t>
      </w:r>
    </w:p>
    <w:p w:rsidR="00D4330C" w:rsidRPr="00AE589E" w:rsidRDefault="00D4330C" w:rsidP="00D4330C">
      <w:pPr>
        <w:pStyle w:val="aDefpara"/>
      </w:pPr>
      <w:r w:rsidRPr="00AE589E">
        <w:tab/>
        <w:t>(c)</w:t>
      </w:r>
      <w:r w:rsidRPr="00AE589E">
        <w:tab/>
        <w:t>for an application for an in-principle authorisation certificate—the land at the address for which the in-principle authorisation certificate is sought.</w:t>
      </w:r>
    </w:p>
    <w:p w:rsidR="00D4330C" w:rsidRPr="00AE589E" w:rsidRDefault="00D4330C" w:rsidP="00D4330C">
      <w:pPr>
        <w:pStyle w:val="AH5Sec"/>
      </w:pPr>
      <w:bookmarkStart w:id="20" w:name="_Toc532221198"/>
      <w:r w:rsidRPr="00B043CD">
        <w:rPr>
          <w:rStyle w:val="CharSectNo"/>
        </w:rPr>
        <w:lastRenderedPageBreak/>
        <w:t>10</w:t>
      </w:r>
      <w:r w:rsidRPr="00AE589E">
        <w:tab/>
        <w:t>Requirements for social impact assessment—Act, s 12 (2) (a)</w:t>
      </w:r>
      <w:bookmarkEnd w:id="20"/>
    </w:p>
    <w:p w:rsidR="00D4330C" w:rsidRPr="00AE589E" w:rsidRDefault="00D4330C" w:rsidP="00D4330C">
      <w:pPr>
        <w:pStyle w:val="Amain"/>
      </w:pPr>
      <w:r w:rsidRPr="00AE589E">
        <w:tab/>
        <w:t>(1)</w:t>
      </w:r>
      <w:r w:rsidRPr="00AE589E">
        <w:tab/>
        <w:t>A social impact assessment for a relevant gaming machine application must satisfy the requirements of this section.</w:t>
      </w:r>
    </w:p>
    <w:p w:rsidR="009720B3" w:rsidRDefault="009720B3" w:rsidP="0056525D">
      <w:pPr>
        <w:pStyle w:val="Amain"/>
        <w:keepNext/>
        <w:keepLines/>
      </w:pPr>
      <w:r>
        <w:tab/>
        <w:t>(2)</w:t>
      </w:r>
      <w:r>
        <w:tab/>
        <w:t>The assessment must provide an objective analysis of the likely economic and social impact of the operation of gaming machines under</w:t>
      </w:r>
      <w:r w:rsidR="00D4330C">
        <w:t xml:space="preserve"> </w:t>
      </w:r>
      <w:r w:rsidR="00D4330C" w:rsidRPr="00AE589E">
        <w:t xml:space="preserve">the proposed authorisation certificate, the authorisation certificate as proposed to be amended or the in-principle authorisation certificate (the </w:t>
      </w:r>
      <w:r w:rsidR="00D4330C" w:rsidRPr="00AE589E">
        <w:rPr>
          <w:rStyle w:val="charBoldItals"/>
        </w:rPr>
        <w:t>gaming machine proposal</w:t>
      </w:r>
      <w:r w:rsidR="00D4330C" w:rsidRPr="00AE589E">
        <w:t>).</w:t>
      </w:r>
    </w:p>
    <w:p w:rsidR="009720B3" w:rsidRDefault="009720B3">
      <w:pPr>
        <w:pStyle w:val="Amain"/>
      </w:pPr>
      <w:r>
        <w:tab/>
        <w:t>(3)</w:t>
      </w:r>
      <w:r>
        <w:tab/>
        <w:t>The assessment must identify, and provide an analysis of, the positive aspects or benefits of the gaming machine proposal as well as the negative aspects or detriments of the proposal.</w:t>
      </w:r>
    </w:p>
    <w:p w:rsidR="009720B3" w:rsidRDefault="009720B3">
      <w:pPr>
        <w:pStyle w:val="Amain"/>
      </w:pPr>
      <w:r>
        <w:tab/>
        <w:t>(4)</w:t>
      </w:r>
      <w:r>
        <w:tab/>
        <w:t>All statements or material included in the assessment must be—</w:t>
      </w:r>
    </w:p>
    <w:p w:rsidR="009720B3" w:rsidRDefault="009720B3">
      <w:pPr>
        <w:pStyle w:val="Apara"/>
      </w:pPr>
      <w:r>
        <w:tab/>
        <w:t>(a)</w:t>
      </w:r>
      <w:r>
        <w:tab/>
        <w:t>objective rather than subjective or speculative; and</w:t>
      </w:r>
    </w:p>
    <w:p w:rsidR="009720B3" w:rsidRDefault="009720B3">
      <w:pPr>
        <w:pStyle w:val="Apara"/>
      </w:pPr>
      <w:r>
        <w:tab/>
        <w:t>(b)</w:t>
      </w:r>
      <w:r>
        <w:tab/>
        <w:t>based on identifiable factual information.</w:t>
      </w:r>
    </w:p>
    <w:p w:rsidR="009720B3" w:rsidRDefault="009720B3">
      <w:pPr>
        <w:pStyle w:val="Amain"/>
      </w:pPr>
      <w:r>
        <w:tab/>
        <w:t>(5)</w:t>
      </w:r>
      <w:r>
        <w:tab/>
        <w:t>The sources of the information must be clearly and specifically identified.</w:t>
      </w:r>
    </w:p>
    <w:p w:rsidR="009720B3" w:rsidRDefault="009720B3">
      <w:pPr>
        <w:pStyle w:val="aExamHdgss"/>
      </w:pPr>
      <w:r>
        <w:t>Examples</w:t>
      </w:r>
    </w:p>
    <w:p w:rsidR="009720B3" w:rsidRDefault="009720B3">
      <w:pPr>
        <w:pStyle w:val="aExamINum"/>
      </w:pPr>
      <w:r>
        <w:t>1</w:t>
      </w:r>
      <w:r>
        <w:tab/>
        <w:t>an Australian Bureau of Statistics publication</w:t>
      </w:r>
    </w:p>
    <w:p w:rsidR="009720B3" w:rsidRDefault="009720B3">
      <w:pPr>
        <w:pStyle w:val="aExamINum"/>
        <w:keepNext/>
      </w:pPr>
      <w:r>
        <w:t>2</w:t>
      </w:r>
      <w:r>
        <w:tab/>
        <w:t>a commission report</w:t>
      </w:r>
    </w:p>
    <w:p w:rsidR="009720B3" w:rsidRDefault="009720B3">
      <w:pPr>
        <w:pStyle w:val="aNote"/>
      </w:pPr>
      <w:r>
        <w:rPr>
          <w:rStyle w:val="charItals"/>
        </w:rPr>
        <w:t>Note</w:t>
      </w:r>
      <w:r>
        <w:tab/>
        <w:t xml:space="preserve">An example is part of the regulation, is not exhaustive and may extend, but does not limit, the meaning of the provision in which it appears (see </w:t>
      </w:r>
      <w:hyperlink r:id="rId42" w:tooltip="A2001-14" w:history="1">
        <w:r w:rsidR="000812EE" w:rsidRPr="000812EE">
          <w:rPr>
            <w:rStyle w:val="charCitHyperlinkAbbrev"/>
          </w:rPr>
          <w:t>Legislation Act</w:t>
        </w:r>
      </w:hyperlink>
      <w:r>
        <w:t>, s 126 and s 132).</w:t>
      </w:r>
    </w:p>
    <w:p w:rsidR="009720B3" w:rsidRDefault="009720B3">
      <w:pPr>
        <w:pStyle w:val="Amain"/>
      </w:pPr>
      <w:r>
        <w:tab/>
        <w:t>(6)</w:t>
      </w:r>
      <w:r>
        <w:tab/>
        <w:t>The assessment must identify—</w:t>
      </w:r>
    </w:p>
    <w:p w:rsidR="009720B3" w:rsidRDefault="009720B3">
      <w:pPr>
        <w:pStyle w:val="Apara"/>
      </w:pPr>
      <w:r>
        <w:tab/>
        <w:t>(a)</w:t>
      </w:r>
      <w:r>
        <w:tab/>
        <w:t>the entities and institutions (</w:t>
      </w:r>
      <w:r>
        <w:rPr>
          <w:rStyle w:val="charBoldItals"/>
        </w:rPr>
        <w:t>affected entities and institutions</w:t>
      </w:r>
      <w:r>
        <w:t>) in both the local community and the broader Canberra community that may be affected by the gaming machine proposal; and</w:t>
      </w:r>
    </w:p>
    <w:p w:rsidR="009720B3" w:rsidRDefault="009720B3">
      <w:pPr>
        <w:pStyle w:val="Apara"/>
      </w:pPr>
      <w:r>
        <w:lastRenderedPageBreak/>
        <w:tab/>
        <w:t>(b)</w:t>
      </w:r>
      <w:r>
        <w:tab/>
        <w:t>on a map of the local community included in the assessment, the location of affected entities and institutions in the local community; and</w:t>
      </w:r>
    </w:p>
    <w:p w:rsidR="009720B3" w:rsidRDefault="009720B3">
      <w:pPr>
        <w:pStyle w:val="Apara"/>
        <w:keepNext/>
      </w:pPr>
      <w:r>
        <w:tab/>
        <w:t>(c)</w:t>
      </w:r>
      <w:r>
        <w:tab/>
        <w:t>the likely impact (both positive and negative) on affected entities and institutions in both the local community and the broader Canberra community.</w:t>
      </w:r>
    </w:p>
    <w:p w:rsidR="009720B3" w:rsidRDefault="0008401E">
      <w:pPr>
        <w:pStyle w:val="aExamHdgpar"/>
      </w:pPr>
      <w:r>
        <w:t>Examples—</w:t>
      </w:r>
      <w:r w:rsidR="009720B3">
        <w:t>affected entities and institutions</w:t>
      </w:r>
    </w:p>
    <w:p w:rsidR="009720B3" w:rsidRDefault="009720B3">
      <w:pPr>
        <w:pStyle w:val="aExampar"/>
      </w:pPr>
      <w:r>
        <w:t>1</w:t>
      </w:r>
      <w:r>
        <w:tab/>
        <w:t>nearby residences, shops and other business</w:t>
      </w:r>
    </w:p>
    <w:p w:rsidR="009720B3" w:rsidRDefault="009720B3">
      <w:pPr>
        <w:pStyle w:val="aExampar"/>
      </w:pPr>
      <w:r>
        <w:t>2</w:t>
      </w:r>
      <w:r>
        <w:tab/>
        <w:t>other gambling venues</w:t>
      </w:r>
    </w:p>
    <w:p w:rsidR="009720B3" w:rsidRDefault="009720B3">
      <w:pPr>
        <w:pStyle w:val="aExampar"/>
      </w:pPr>
      <w:r>
        <w:t>3</w:t>
      </w:r>
      <w:r>
        <w:tab/>
        <w:t>schools</w:t>
      </w:r>
    </w:p>
    <w:p w:rsidR="009720B3" w:rsidRDefault="009720B3">
      <w:pPr>
        <w:pStyle w:val="aExampar"/>
      </w:pPr>
      <w:r>
        <w:t>4</w:t>
      </w:r>
      <w:r>
        <w:tab/>
        <w:t>sporting and community facilities</w:t>
      </w:r>
    </w:p>
    <w:p w:rsidR="009720B3" w:rsidRDefault="009720B3">
      <w:pPr>
        <w:pStyle w:val="aExampar"/>
      </w:pPr>
      <w:r>
        <w:t>5</w:t>
      </w:r>
      <w:r>
        <w:tab/>
        <w:t>places of worship</w:t>
      </w:r>
    </w:p>
    <w:p w:rsidR="00D4330C" w:rsidRPr="00AE589E" w:rsidRDefault="00D4330C" w:rsidP="00D4330C">
      <w:pPr>
        <w:pStyle w:val="AH5Sec"/>
      </w:pPr>
      <w:bookmarkStart w:id="21" w:name="_Toc532221199"/>
      <w:r w:rsidRPr="00B043CD">
        <w:rPr>
          <w:rStyle w:val="CharSectNo"/>
        </w:rPr>
        <w:t>11</w:t>
      </w:r>
      <w:r w:rsidRPr="00AE589E">
        <w:tab/>
        <w:t>Matters to be addressed by social impact assessment—Act, s 12 (2) (b)</w:t>
      </w:r>
      <w:bookmarkEnd w:id="21"/>
    </w:p>
    <w:p w:rsidR="009720B3" w:rsidRDefault="00D4330C">
      <w:pPr>
        <w:pStyle w:val="Amain"/>
        <w:keepNext/>
      </w:pPr>
      <w:r w:rsidRPr="00AE589E">
        <w:tab/>
        <w:t>(1)</w:t>
      </w:r>
      <w:r w:rsidRPr="00AE589E">
        <w:tab/>
        <w:t>A social impact assessment for a relevant gaming machine application must address the following matters:</w:t>
      </w:r>
    </w:p>
    <w:p w:rsidR="009720B3" w:rsidRDefault="009720B3">
      <w:pPr>
        <w:pStyle w:val="Apara"/>
      </w:pPr>
      <w:r>
        <w:tab/>
        <w:t>(a)</w:t>
      </w:r>
      <w:r>
        <w:tab/>
        <w:t>the existing level of gaming activity currently being conducted in the local community;</w:t>
      </w:r>
    </w:p>
    <w:p w:rsidR="00BF398E" w:rsidRPr="00A01D89" w:rsidRDefault="00BF398E" w:rsidP="00BF398E">
      <w:pPr>
        <w:pStyle w:val="Apara"/>
      </w:pPr>
      <w:r w:rsidRPr="00A01D89">
        <w:tab/>
        <w:t>(b)</w:t>
      </w:r>
      <w:r w:rsidRPr="00A01D89">
        <w:tab/>
        <w:t>the population profile of people living in the local community, including an analysis of—</w:t>
      </w:r>
    </w:p>
    <w:p w:rsidR="00BF398E" w:rsidRPr="00A01D89" w:rsidRDefault="00BF398E" w:rsidP="00BF398E">
      <w:pPr>
        <w:pStyle w:val="Asubpara"/>
      </w:pPr>
      <w:r w:rsidRPr="00A01D89">
        <w:tab/>
        <w:t>(i)</w:t>
      </w:r>
      <w:r w:rsidRPr="00A01D89">
        <w:tab/>
        <w:t>age and average income; and</w:t>
      </w:r>
    </w:p>
    <w:p w:rsidR="00BF398E" w:rsidRPr="00A01D89" w:rsidRDefault="00BF398E" w:rsidP="00BF398E">
      <w:pPr>
        <w:pStyle w:val="Asubpara"/>
      </w:pPr>
      <w:r w:rsidRPr="00A01D89">
        <w:tab/>
        <w:t>(ii)</w:t>
      </w:r>
      <w:r w:rsidRPr="00A01D89">
        <w:tab/>
        <w:t>projected population, and projected growth rate, of the local community;</w:t>
      </w:r>
    </w:p>
    <w:p w:rsidR="009720B3" w:rsidRDefault="009720B3" w:rsidP="0056525D">
      <w:pPr>
        <w:pStyle w:val="Apara"/>
        <w:keepNext/>
      </w:pPr>
      <w:r>
        <w:lastRenderedPageBreak/>
        <w:tab/>
        <w:t>(c)</w:t>
      </w:r>
      <w:r>
        <w:tab/>
        <w:t>available relevant information about patrons in relation to the relevant premises;</w:t>
      </w:r>
    </w:p>
    <w:p w:rsidR="009720B3" w:rsidRDefault="009720B3">
      <w:pPr>
        <w:pStyle w:val="aExamHdgpar"/>
      </w:pPr>
      <w:r>
        <w:t>Examp</w:t>
      </w:r>
      <w:r w:rsidR="0008401E">
        <w:t>les—</w:t>
      </w:r>
      <w:r>
        <w:t>relevant information</w:t>
      </w:r>
    </w:p>
    <w:p w:rsidR="009720B3" w:rsidRDefault="009720B3" w:rsidP="0056525D">
      <w:pPr>
        <w:pStyle w:val="aExampar"/>
        <w:keepNext/>
      </w:pPr>
      <w:r>
        <w:t>1</w:t>
      </w:r>
      <w:r>
        <w:tab/>
        <w:t>where patrons live</w:t>
      </w:r>
    </w:p>
    <w:p w:rsidR="009720B3" w:rsidRDefault="009720B3" w:rsidP="0056525D">
      <w:pPr>
        <w:pStyle w:val="aExampar"/>
        <w:keepNext/>
      </w:pPr>
      <w:r>
        <w:t>2</w:t>
      </w:r>
      <w:r>
        <w:tab/>
        <w:t>spending patterns of patrons</w:t>
      </w:r>
    </w:p>
    <w:p w:rsidR="009720B3" w:rsidRDefault="009720B3" w:rsidP="0056525D">
      <w:pPr>
        <w:pStyle w:val="aExampar"/>
        <w:keepNext/>
      </w:pPr>
      <w:r>
        <w:t>3</w:t>
      </w:r>
      <w:r>
        <w:tab/>
        <w:t>time spent at the premises by patrons</w:t>
      </w:r>
    </w:p>
    <w:p w:rsidR="009720B3" w:rsidRDefault="009720B3">
      <w:pPr>
        <w:pStyle w:val="aNotepar"/>
      </w:pPr>
      <w:r>
        <w:rPr>
          <w:rStyle w:val="charItals"/>
        </w:rPr>
        <w:t>Note</w:t>
      </w:r>
      <w:r>
        <w:rPr>
          <w:rStyle w:val="charItals"/>
        </w:rPr>
        <w:tab/>
      </w:r>
      <w:r>
        <w:t xml:space="preserve">An example is part of the regulation, is not exhaustive and may extend, but does not limit, the meaning of the provision in which it appears (see </w:t>
      </w:r>
      <w:hyperlink r:id="rId43" w:tooltip="A2001-14" w:history="1">
        <w:r w:rsidR="000812EE" w:rsidRPr="000812EE">
          <w:rPr>
            <w:rStyle w:val="charCitHyperlinkAbbrev"/>
          </w:rPr>
          <w:t>Legislation Act</w:t>
        </w:r>
      </w:hyperlink>
      <w:r>
        <w:t>, s 126 and s 132).</w:t>
      </w:r>
    </w:p>
    <w:p w:rsidR="009720B3" w:rsidRDefault="009720B3">
      <w:pPr>
        <w:pStyle w:val="Apara"/>
      </w:pPr>
      <w:r>
        <w:tab/>
        <w:t>(d)</w:t>
      </w:r>
      <w:r>
        <w:tab/>
        <w:t>the positive aspects or benefits of the gaming machine proposal for—</w:t>
      </w:r>
    </w:p>
    <w:p w:rsidR="009720B3" w:rsidRDefault="009720B3">
      <w:pPr>
        <w:pStyle w:val="Asubpara"/>
      </w:pPr>
      <w:r>
        <w:tab/>
        <w:t>(i)</w:t>
      </w:r>
      <w:r>
        <w:tab/>
        <w:t>the local community; and</w:t>
      </w:r>
    </w:p>
    <w:p w:rsidR="009720B3" w:rsidRDefault="009720B3">
      <w:pPr>
        <w:pStyle w:val="Asubpara"/>
      </w:pPr>
      <w:r>
        <w:tab/>
        <w:t>(ii)</w:t>
      </w:r>
      <w:r>
        <w:tab/>
        <w:t>the broader Canberra community;</w:t>
      </w:r>
    </w:p>
    <w:p w:rsidR="009720B3" w:rsidRDefault="009720B3">
      <w:pPr>
        <w:pStyle w:val="Apara"/>
      </w:pPr>
      <w:r>
        <w:tab/>
        <w:t>(e)</w:t>
      </w:r>
      <w:r>
        <w:tab/>
        <w:t>the negative aspects or detriments of the gaming machine proposal for—</w:t>
      </w:r>
    </w:p>
    <w:p w:rsidR="009720B3" w:rsidRDefault="009720B3">
      <w:pPr>
        <w:pStyle w:val="Asubpara"/>
      </w:pPr>
      <w:r>
        <w:tab/>
        <w:t>(i)</w:t>
      </w:r>
      <w:r>
        <w:tab/>
        <w:t>the local community; and</w:t>
      </w:r>
    </w:p>
    <w:p w:rsidR="009720B3" w:rsidRDefault="009720B3">
      <w:pPr>
        <w:pStyle w:val="Asubpara"/>
      </w:pPr>
      <w:r>
        <w:tab/>
        <w:t>(ii)</w:t>
      </w:r>
      <w:r>
        <w:tab/>
        <w:t>the broader Canberra community;</w:t>
      </w:r>
    </w:p>
    <w:p w:rsidR="009720B3" w:rsidRDefault="009720B3">
      <w:pPr>
        <w:pStyle w:val="Apara"/>
      </w:pPr>
      <w:r>
        <w:tab/>
        <w:t>(f)</w:t>
      </w:r>
      <w:r>
        <w:tab/>
        <w:t>the gambling harm minimisation measures proposed to be taken in relation to the gaming machine proposal;</w:t>
      </w:r>
    </w:p>
    <w:p w:rsidR="009720B3" w:rsidRDefault="009720B3">
      <w:pPr>
        <w:pStyle w:val="Apara"/>
      </w:pPr>
      <w:r>
        <w:tab/>
        <w:t>(g)</w:t>
      </w:r>
      <w:r>
        <w:tab/>
        <w:t>the likely overall net economic and social impact of the gaming machine proposal.</w:t>
      </w:r>
    </w:p>
    <w:p w:rsidR="009720B3" w:rsidRDefault="009720B3">
      <w:pPr>
        <w:pStyle w:val="Amain"/>
      </w:pPr>
      <w:r>
        <w:tab/>
        <w:t>(2)</w:t>
      </w:r>
      <w:r>
        <w:tab/>
        <w:t>This section does not limit the matters that may be addressed.</w:t>
      </w:r>
    </w:p>
    <w:p w:rsidR="00D4330C" w:rsidRPr="00AE589E" w:rsidRDefault="00D4330C" w:rsidP="00D4330C">
      <w:pPr>
        <w:pStyle w:val="AH5Sec"/>
      </w:pPr>
      <w:bookmarkStart w:id="22" w:name="_Toc532221200"/>
      <w:r w:rsidRPr="00B043CD">
        <w:rPr>
          <w:rStyle w:val="CharSectNo"/>
        </w:rPr>
        <w:lastRenderedPageBreak/>
        <w:t>12</w:t>
      </w:r>
      <w:r w:rsidRPr="00AE589E">
        <w:tab/>
        <w:t>Information to be given in social impact assessment—Act, s 12 (2) (c)</w:t>
      </w:r>
      <w:bookmarkEnd w:id="22"/>
    </w:p>
    <w:p w:rsidR="009720B3" w:rsidRDefault="00D4330C">
      <w:pPr>
        <w:pStyle w:val="Amain"/>
        <w:keepNext/>
      </w:pPr>
      <w:r w:rsidRPr="00AE589E">
        <w:tab/>
        <w:t>(1)</w:t>
      </w:r>
      <w:r w:rsidRPr="00AE589E">
        <w:tab/>
        <w:t>To the extent that the information is available to the applicant, the following information must be given in a social impact assessment for a relevant gaming machine application:</w:t>
      </w:r>
    </w:p>
    <w:p w:rsidR="009720B3" w:rsidRDefault="009720B3">
      <w:pPr>
        <w:pStyle w:val="Apara"/>
      </w:pPr>
      <w:r>
        <w:tab/>
        <w:t>(a)</w:t>
      </w:r>
      <w:r>
        <w:tab/>
        <w:t>the number and location of existing gambling outlets in the local community;</w:t>
      </w:r>
    </w:p>
    <w:p w:rsidR="009720B3" w:rsidRDefault="009720B3">
      <w:pPr>
        <w:pStyle w:val="Apara"/>
      </w:pPr>
      <w:r>
        <w:tab/>
        <w:t>(b)</w:t>
      </w:r>
      <w:r>
        <w:tab/>
        <w:t>details of the population of the local community, including the number of adults and average incomes;</w:t>
      </w:r>
    </w:p>
    <w:p w:rsidR="009720B3" w:rsidRDefault="009720B3">
      <w:pPr>
        <w:pStyle w:val="Apara"/>
      </w:pPr>
      <w:r>
        <w:tab/>
        <w:t>(c)</w:t>
      </w:r>
      <w:r>
        <w:tab/>
        <w:t>expected gaming machine revenue of the applicant for the next 3 years if the application is approved;</w:t>
      </w:r>
    </w:p>
    <w:p w:rsidR="009720B3" w:rsidRDefault="009720B3">
      <w:pPr>
        <w:pStyle w:val="Apara"/>
      </w:pPr>
      <w:r>
        <w:tab/>
        <w:t>(d)</w:t>
      </w:r>
      <w:r>
        <w:tab/>
        <w:t>expected community contributions of the applicant for the next 3 years.</w:t>
      </w:r>
    </w:p>
    <w:p w:rsidR="009720B3" w:rsidRDefault="009720B3">
      <w:pPr>
        <w:pStyle w:val="Amain"/>
      </w:pPr>
      <w:r>
        <w:tab/>
        <w:t>(2)</w:t>
      </w:r>
      <w:r>
        <w:tab/>
        <w:t>This section does not limit the information that may be given in a social impact assessment.</w:t>
      </w:r>
    </w:p>
    <w:p w:rsidR="00BF398E" w:rsidRPr="00BF398E" w:rsidRDefault="00BF398E" w:rsidP="00BF398E">
      <w:pPr>
        <w:pStyle w:val="PageBreak"/>
      </w:pPr>
      <w:r w:rsidRPr="00BF398E">
        <w:br w:type="page"/>
      </w:r>
    </w:p>
    <w:p w:rsidR="009720B3" w:rsidRPr="00B043CD" w:rsidRDefault="009720B3">
      <w:pPr>
        <w:pStyle w:val="AH2Part"/>
      </w:pPr>
      <w:bookmarkStart w:id="23" w:name="_Toc532221201"/>
      <w:r w:rsidRPr="00B043CD">
        <w:rPr>
          <w:rStyle w:val="CharPartNo"/>
        </w:rPr>
        <w:lastRenderedPageBreak/>
        <w:t>Part 4</w:t>
      </w:r>
      <w:r>
        <w:tab/>
      </w:r>
      <w:r w:rsidRPr="00B043CD">
        <w:rPr>
          <w:rStyle w:val="CharPartText"/>
        </w:rPr>
        <w:t>Ballots</w:t>
      </w:r>
      <w:bookmarkEnd w:id="23"/>
    </w:p>
    <w:p w:rsidR="009720B3" w:rsidRDefault="009720B3">
      <w:pPr>
        <w:pStyle w:val="AH5Sec"/>
      </w:pPr>
      <w:bookmarkStart w:id="24" w:name="_Toc532221202"/>
      <w:r w:rsidRPr="00B043CD">
        <w:rPr>
          <w:rStyle w:val="CharSectNo"/>
        </w:rPr>
        <w:t>13</w:t>
      </w:r>
      <w:r>
        <w:tab/>
        <w:t>Definitions—pt 4</w:t>
      </w:r>
      <w:bookmarkEnd w:id="24"/>
    </w:p>
    <w:p w:rsidR="009720B3" w:rsidRDefault="009720B3">
      <w:pPr>
        <w:pStyle w:val="Amainreturn"/>
        <w:keepNext/>
      </w:pPr>
      <w:r>
        <w:t>In this part:</w:t>
      </w:r>
    </w:p>
    <w:p w:rsidR="009720B3" w:rsidRDefault="009720B3">
      <w:pPr>
        <w:pStyle w:val="Amainreturn"/>
      </w:pPr>
      <w:r>
        <w:rPr>
          <w:rStyle w:val="charBoldItals"/>
        </w:rPr>
        <w:t>club secretary</w:t>
      </w:r>
      <w:r>
        <w:t xml:space="preserve"> means the secretary of the club holding the ballot.</w:t>
      </w:r>
    </w:p>
    <w:p w:rsidR="00BB5FF5" w:rsidRPr="00B41DFA" w:rsidRDefault="00BB5FF5" w:rsidP="00BB5FF5">
      <w:pPr>
        <w:pStyle w:val="aDef"/>
      </w:pPr>
      <w:r w:rsidRPr="00B41DFA">
        <w:rPr>
          <w:rStyle w:val="charBoldItals"/>
        </w:rPr>
        <w:t>conducted electronically</w:t>
      </w:r>
      <w:r w:rsidRPr="00B41DFA">
        <w:t xml:space="preserve">—a ballot is </w:t>
      </w:r>
      <w:r w:rsidRPr="00B41DFA">
        <w:rPr>
          <w:rStyle w:val="charBoldItals"/>
        </w:rPr>
        <w:t>conducted electronically</w:t>
      </w:r>
      <w:r w:rsidRPr="00B41DFA">
        <w:t xml:space="preserve"> if voting in the ballot is conducted, and the votes are counted, using an electronic process.</w:t>
      </w:r>
    </w:p>
    <w:p w:rsidR="00BB5FF5" w:rsidRPr="00B41DFA" w:rsidRDefault="00BB5FF5" w:rsidP="00BB5FF5">
      <w:pPr>
        <w:pStyle w:val="aDef"/>
      </w:pPr>
      <w:r w:rsidRPr="00B41DFA">
        <w:rPr>
          <w:rStyle w:val="charBoldItals"/>
        </w:rPr>
        <w:t>independent ballot service provider</w:t>
      </w:r>
      <w:r w:rsidRPr="00B41DFA">
        <w:t xml:space="preserve"> means a person or organisation that—</w:t>
      </w:r>
    </w:p>
    <w:p w:rsidR="00BB5FF5" w:rsidRPr="00B41DFA" w:rsidRDefault="00BB5FF5" w:rsidP="00BB5FF5">
      <w:pPr>
        <w:pStyle w:val="aDefpara"/>
      </w:pPr>
      <w:r w:rsidRPr="00B41DFA">
        <w:tab/>
        <w:t>(a)</w:t>
      </w:r>
      <w:r w:rsidRPr="00B41DFA">
        <w:tab/>
        <w:t>conducts, or assists in the conduct of, ballots and elections for clubs or other organisations; and</w:t>
      </w:r>
    </w:p>
    <w:p w:rsidR="00BB5FF5" w:rsidRPr="00B41DFA" w:rsidRDefault="00BB5FF5" w:rsidP="00BB5FF5">
      <w:pPr>
        <w:pStyle w:val="aDefpara"/>
      </w:pPr>
      <w:r w:rsidRPr="00B41DFA">
        <w:tab/>
        <w:t>(b)</w:t>
      </w:r>
      <w:r w:rsidRPr="00B41DFA">
        <w:tab/>
        <w:t>is independent of the club or organisation for which the ballot is conducted.</w:t>
      </w:r>
    </w:p>
    <w:p w:rsidR="00BB5FF5" w:rsidRPr="00B41DFA" w:rsidRDefault="00BB5FF5" w:rsidP="00BB5FF5">
      <w:pPr>
        <w:pStyle w:val="aDef"/>
      </w:pPr>
      <w:r w:rsidRPr="00B41DFA">
        <w:rPr>
          <w:rStyle w:val="charBoldItals"/>
        </w:rPr>
        <w:t>person conducting a ballot</w:t>
      </w:r>
      <w:r w:rsidRPr="00B41DFA">
        <w:t>, for a ballot held by a club, means—</w:t>
      </w:r>
    </w:p>
    <w:p w:rsidR="00BB5FF5" w:rsidRPr="00B41DFA" w:rsidRDefault="00BB5FF5" w:rsidP="00BB5FF5">
      <w:pPr>
        <w:pStyle w:val="aDefpara"/>
      </w:pPr>
      <w:r w:rsidRPr="00B41DFA">
        <w:tab/>
        <w:t>(a)</w:t>
      </w:r>
      <w:r w:rsidRPr="00B41DFA">
        <w:tab/>
        <w:t>the club secretary; or</w:t>
      </w:r>
    </w:p>
    <w:p w:rsidR="00BB5FF5" w:rsidRPr="00B41DFA" w:rsidRDefault="00BB5FF5" w:rsidP="00BB5FF5">
      <w:pPr>
        <w:pStyle w:val="aDefpara"/>
      </w:pPr>
      <w:r w:rsidRPr="00B41DFA">
        <w:tab/>
        <w:t>(b)</w:t>
      </w:r>
      <w:r w:rsidRPr="00B41DFA">
        <w:tab/>
        <w:t>if the club secretary appoints an independent ballot service provider to conduct the ballot—the independent ballot service provider.</w:t>
      </w:r>
    </w:p>
    <w:p w:rsidR="00BB5FF5" w:rsidRPr="00B41DFA" w:rsidRDefault="00BB5FF5" w:rsidP="00BB5FF5">
      <w:pPr>
        <w:pStyle w:val="aNotepar"/>
      </w:pPr>
      <w:r w:rsidRPr="00B41DFA">
        <w:rPr>
          <w:rStyle w:val="charItals"/>
        </w:rPr>
        <w:t>Note</w:t>
      </w:r>
      <w:r w:rsidRPr="00B41DFA">
        <w:rPr>
          <w:rStyle w:val="charItals"/>
        </w:rPr>
        <w:tab/>
      </w:r>
      <w:r w:rsidRPr="00B41DFA">
        <w:t>If an independent ballot service provider is appointed to conduct a ballot, the club secretary must ensure the ballot is conducted in accordance with this part (see s 22C (2)).</w:t>
      </w:r>
    </w:p>
    <w:p w:rsidR="00BB5FF5" w:rsidRDefault="00BB5FF5" w:rsidP="00BB5FF5">
      <w:pPr>
        <w:pStyle w:val="Amainreturn"/>
      </w:pPr>
      <w:r>
        <w:rPr>
          <w:rStyle w:val="charBoldItals"/>
        </w:rPr>
        <w:t>voting close date</w:t>
      </w:r>
      <w:r>
        <w:t>—see section 16 (1).</w:t>
      </w:r>
    </w:p>
    <w:p w:rsidR="00BB5FF5" w:rsidRPr="00B41DFA" w:rsidRDefault="00BB5FF5" w:rsidP="00BB5FF5">
      <w:pPr>
        <w:pStyle w:val="aDef"/>
        <w:keepNext/>
      </w:pPr>
      <w:r w:rsidRPr="00B41DFA">
        <w:rPr>
          <w:rStyle w:val="charBoldItals"/>
        </w:rPr>
        <w:t>voting document</w:t>
      </w:r>
      <w:r w:rsidRPr="00B41DFA">
        <w:t xml:space="preserve"> means—</w:t>
      </w:r>
    </w:p>
    <w:p w:rsidR="00BB5FF5" w:rsidRPr="00B41DFA" w:rsidRDefault="00BB5FF5" w:rsidP="00BB5FF5">
      <w:pPr>
        <w:pStyle w:val="aDefpara"/>
        <w:keepNext/>
      </w:pPr>
      <w:r w:rsidRPr="00B41DFA">
        <w:tab/>
        <w:t>(a)</w:t>
      </w:r>
      <w:r w:rsidRPr="00B41DFA">
        <w:tab/>
        <w:t>if a ballot is not conducted electronically—a document to record a member’s vote in the ballot; and</w:t>
      </w:r>
    </w:p>
    <w:p w:rsidR="00BB5FF5" w:rsidRPr="00B41DFA" w:rsidRDefault="00BB5FF5" w:rsidP="00BB5FF5">
      <w:pPr>
        <w:pStyle w:val="aDefpara"/>
      </w:pPr>
      <w:r w:rsidRPr="00B41DFA">
        <w:tab/>
        <w:t>(b)</w:t>
      </w:r>
      <w:r w:rsidRPr="00B41DFA">
        <w:tab/>
        <w:t>if a ballot is conducted electronically—a link and password to a computer program where a vote in the ballot may be recorded.</w:t>
      </w:r>
    </w:p>
    <w:p w:rsidR="009720B3" w:rsidRDefault="009720B3">
      <w:pPr>
        <w:pStyle w:val="AH5Sec"/>
      </w:pPr>
      <w:bookmarkStart w:id="25" w:name="_Toc532221203"/>
      <w:r w:rsidRPr="00B043CD">
        <w:rPr>
          <w:rStyle w:val="CharSectNo"/>
        </w:rPr>
        <w:lastRenderedPageBreak/>
        <w:t>14</w:t>
      </w:r>
      <w:r>
        <w:tab/>
        <w:t>Conduct of ballots</w:t>
      </w:r>
      <w:bookmarkEnd w:id="25"/>
    </w:p>
    <w:p w:rsidR="009720B3" w:rsidRDefault="006E61EC" w:rsidP="006E61EC">
      <w:pPr>
        <w:pStyle w:val="Amain"/>
        <w:spacing w:before="240"/>
      </w:pPr>
      <w:r>
        <w:tab/>
        <w:t>(1)</w:t>
      </w:r>
      <w:r>
        <w:tab/>
      </w:r>
      <w:r w:rsidR="009720B3">
        <w:t xml:space="preserve">If the </w:t>
      </w:r>
      <w:r w:rsidR="00B6380A" w:rsidRPr="00C2070A">
        <w:t>Act</w:t>
      </w:r>
      <w:r w:rsidR="009720B3">
        <w:t xml:space="preserve"> requires a ballot to be held under this regulation, the ballot must be held in accordance with this part.</w:t>
      </w:r>
    </w:p>
    <w:p w:rsidR="00F8155D" w:rsidRPr="00AE589E" w:rsidRDefault="00F8155D" w:rsidP="00F8155D">
      <w:pPr>
        <w:pStyle w:val="aNote"/>
        <w:keepNext/>
      </w:pPr>
      <w:r w:rsidRPr="00AE589E">
        <w:rPr>
          <w:rStyle w:val="charItals"/>
        </w:rPr>
        <w:t>Note</w:t>
      </w:r>
      <w:r w:rsidRPr="00AE589E">
        <w:rPr>
          <w:rStyle w:val="charItals"/>
        </w:rPr>
        <w:tab/>
      </w:r>
      <w:r w:rsidRPr="00AE589E">
        <w:t>The following sections of the Act mention ballots:</w:t>
      </w:r>
    </w:p>
    <w:p w:rsidR="00F8155D" w:rsidRPr="00AE589E" w:rsidRDefault="00F8155D" w:rsidP="00F8155D">
      <w:pPr>
        <w:pStyle w:val="aNoteBulletss"/>
        <w:keepNext/>
        <w:tabs>
          <w:tab w:val="left" w:pos="2300"/>
        </w:tabs>
      </w:pPr>
      <w:r w:rsidRPr="00AE589E">
        <w:rPr>
          <w:rFonts w:ascii="Symbol" w:hAnsi="Symbol"/>
        </w:rPr>
        <w:t></w:t>
      </w:r>
      <w:r w:rsidRPr="00AE589E">
        <w:rPr>
          <w:rFonts w:ascii="Symbol" w:hAnsi="Symbol"/>
        </w:rPr>
        <w:tab/>
      </w:r>
      <w:r w:rsidRPr="00AE589E">
        <w:t>s 16 (h) (iv)</w:t>
      </w:r>
    </w:p>
    <w:p w:rsidR="00F8155D" w:rsidRPr="00AE589E" w:rsidRDefault="00F8155D" w:rsidP="00F8155D">
      <w:pPr>
        <w:pStyle w:val="aNoteBulletss"/>
        <w:keepNext/>
        <w:tabs>
          <w:tab w:val="left" w:pos="2300"/>
        </w:tabs>
      </w:pPr>
      <w:r w:rsidRPr="00AE589E">
        <w:rPr>
          <w:rFonts w:ascii="Symbol" w:hAnsi="Symbol"/>
        </w:rPr>
        <w:t></w:t>
      </w:r>
      <w:r w:rsidRPr="00AE589E">
        <w:rPr>
          <w:rFonts w:ascii="Symbol" w:hAnsi="Symbol"/>
        </w:rPr>
        <w:tab/>
      </w:r>
      <w:r w:rsidRPr="00AE589E">
        <w:t>s 17 (3) (b)</w:t>
      </w:r>
    </w:p>
    <w:p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34 (f) (ii) (C)</w:t>
      </w:r>
    </w:p>
    <w:p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36 (5) (b)</w:t>
      </w:r>
    </w:p>
    <w:p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37F (2) (b) (i)</w:t>
      </w:r>
    </w:p>
    <w:p w:rsidR="00F8155D" w:rsidRDefault="00F8155D" w:rsidP="00F8155D">
      <w:pPr>
        <w:pStyle w:val="aNoteBulletss"/>
        <w:tabs>
          <w:tab w:val="left" w:pos="2300"/>
        </w:tabs>
      </w:pPr>
      <w:r w:rsidRPr="00AE589E">
        <w:rPr>
          <w:rFonts w:ascii="Symbol" w:hAnsi="Symbol"/>
        </w:rPr>
        <w:t></w:t>
      </w:r>
      <w:r w:rsidRPr="00AE589E">
        <w:rPr>
          <w:rFonts w:ascii="Symbol" w:hAnsi="Symbol"/>
        </w:rPr>
        <w:tab/>
      </w:r>
      <w:r w:rsidRPr="00AE589E">
        <w:t>s 38 (c).</w:t>
      </w:r>
    </w:p>
    <w:p w:rsidR="006E61EC" w:rsidRPr="00B41DFA" w:rsidRDefault="006E61EC" w:rsidP="006E61EC">
      <w:pPr>
        <w:pStyle w:val="Amain"/>
      </w:pPr>
      <w:r w:rsidRPr="00B41DFA">
        <w:tab/>
        <w:t>(2)</w:t>
      </w:r>
      <w:r w:rsidRPr="00B41DFA">
        <w:tab/>
        <w:t>A ballot held by a club may be conducted electronically.</w:t>
      </w:r>
    </w:p>
    <w:p w:rsidR="009720B3" w:rsidRDefault="009720B3">
      <w:pPr>
        <w:pStyle w:val="AH5Sec"/>
      </w:pPr>
      <w:bookmarkStart w:id="26" w:name="_Toc532221204"/>
      <w:r w:rsidRPr="00B043CD">
        <w:rPr>
          <w:rStyle w:val="CharSectNo"/>
        </w:rPr>
        <w:t>15</w:t>
      </w:r>
      <w:r>
        <w:tab/>
        <w:t>Offence to disclose someone else’s vote</w:t>
      </w:r>
      <w:bookmarkEnd w:id="26"/>
    </w:p>
    <w:p w:rsidR="009720B3" w:rsidRDefault="009720B3">
      <w:pPr>
        <w:pStyle w:val="Amain"/>
      </w:pPr>
      <w:r>
        <w:tab/>
        <w:t>(1)</w:t>
      </w:r>
      <w:r>
        <w:tab/>
        <w:t xml:space="preserve">A person commits an offence if the person tells someone else how another person voted in a ballot conducted for the </w:t>
      </w:r>
      <w:r w:rsidR="00B6380A" w:rsidRPr="00C2070A">
        <w:t>Act</w:t>
      </w:r>
      <w:r>
        <w:t>.</w:t>
      </w:r>
    </w:p>
    <w:p w:rsidR="009720B3" w:rsidRDefault="009720B3">
      <w:pPr>
        <w:pStyle w:val="Penalty"/>
      </w:pPr>
      <w:r>
        <w:t>Maximum penalty:  2 penalty units.</w:t>
      </w:r>
    </w:p>
    <w:p w:rsidR="009720B3" w:rsidRDefault="009720B3">
      <w:pPr>
        <w:pStyle w:val="Amain"/>
      </w:pPr>
      <w:r>
        <w:tab/>
        <w:t>(2)</w:t>
      </w:r>
      <w:r>
        <w:tab/>
        <w:t>An offence against this section is a strict liability offence.</w:t>
      </w:r>
    </w:p>
    <w:p w:rsidR="009720B3" w:rsidRDefault="009720B3">
      <w:pPr>
        <w:pStyle w:val="AH5Sec"/>
      </w:pPr>
      <w:bookmarkStart w:id="27" w:name="_Toc532221205"/>
      <w:r w:rsidRPr="00B043CD">
        <w:rPr>
          <w:rStyle w:val="CharSectNo"/>
        </w:rPr>
        <w:t>16</w:t>
      </w:r>
      <w:r>
        <w:tab/>
        <w:t>Choosing voting close date</w:t>
      </w:r>
      <w:bookmarkEnd w:id="27"/>
    </w:p>
    <w:p w:rsidR="009720B3" w:rsidRDefault="009720B3">
      <w:pPr>
        <w:pStyle w:val="Amain"/>
      </w:pPr>
      <w:r>
        <w:tab/>
        <w:t>(1)</w:t>
      </w:r>
      <w:r>
        <w:tab/>
        <w:t xml:space="preserve">The club secretary must fix a date (the </w:t>
      </w:r>
      <w:r>
        <w:rPr>
          <w:rStyle w:val="charBoldItals"/>
        </w:rPr>
        <w:t>voting close date</w:t>
      </w:r>
      <w:r>
        <w:t>) when voting in the ballot will close.</w:t>
      </w:r>
    </w:p>
    <w:p w:rsidR="009720B3" w:rsidRDefault="009720B3">
      <w:pPr>
        <w:pStyle w:val="Amain"/>
      </w:pPr>
      <w:r>
        <w:tab/>
        <w:t>(2)</w:t>
      </w:r>
      <w:r>
        <w:tab/>
        <w:t>However, the club secretary must not fix a voting close date unless it is at least 6 weeks after the day the secretary fixes the date.</w:t>
      </w:r>
    </w:p>
    <w:p w:rsidR="00FB1454" w:rsidRPr="00B41DFA" w:rsidRDefault="00FB1454" w:rsidP="00FB1454">
      <w:pPr>
        <w:pStyle w:val="AH5Sec"/>
        <w:rPr>
          <w:lang w:eastAsia="en-AU"/>
        </w:rPr>
      </w:pPr>
      <w:bookmarkStart w:id="28" w:name="_Toc532221206"/>
      <w:r w:rsidRPr="00B043CD">
        <w:rPr>
          <w:rStyle w:val="CharSectNo"/>
        </w:rPr>
        <w:t>17</w:t>
      </w:r>
      <w:r w:rsidRPr="00B41DFA">
        <w:rPr>
          <w:lang w:eastAsia="en-AU"/>
        </w:rPr>
        <w:tab/>
        <w:t>Telling commission about ballot</w:t>
      </w:r>
      <w:bookmarkEnd w:id="28"/>
    </w:p>
    <w:p w:rsidR="00FB1454" w:rsidRPr="00B41DFA" w:rsidRDefault="00FB1454" w:rsidP="00FB1454">
      <w:pPr>
        <w:pStyle w:val="Amain"/>
        <w:rPr>
          <w:lang w:eastAsia="en-AU"/>
        </w:rPr>
      </w:pPr>
      <w:r w:rsidRPr="00B41DFA">
        <w:rPr>
          <w:lang w:eastAsia="en-AU"/>
        </w:rPr>
        <w:tab/>
        <w:t>(1)</w:t>
      </w:r>
      <w:r w:rsidRPr="00B41DFA">
        <w:rPr>
          <w:lang w:eastAsia="en-AU"/>
        </w:rPr>
        <w:tab/>
        <w:t xml:space="preserve">At the appropriate time, the club secretary must tell the </w:t>
      </w:r>
      <w:r w:rsidRPr="00B41DFA">
        <w:rPr>
          <w:szCs w:val="24"/>
          <w:lang w:eastAsia="en-AU"/>
        </w:rPr>
        <w:t xml:space="preserve">commission, </w:t>
      </w:r>
      <w:r w:rsidRPr="00B41DFA">
        <w:rPr>
          <w:lang w:eastAsia="en-AU"/>
        </w:rPr>
        <w:t>in writing</w:t>
      </w:r>
      <w:r w:rsidRPr="00B41DFA">
        <w:rPr>
          <w:szCs w:val="24"/>
          <w:lang w:eastAsia="en-AU"/>
        </w:rPr>
        <w:t>—</w:t>
      </w:r>
    </w:p>
    <w:p w:rsidR="00FB1454" w:rsidRPr="00B41DFA" w:rsidRDefault="00FB1454" w:rsidP="00FB1454">
      <w:pPr>
        <w:pStyle w:val="Apara"/>
        <w:rPr>
          <w:lang w:eastAsia="en-AU"/>
        </w:rPr>
      </w:pPr>
      <w:r w:rsidRPr="00B41DFA">
        <w:rPr>
          <w:lang w:eastAsia="en-AU"/>
        </w:rPr>
        <w:tab/>
        <w:t>(a)</w:t>
      </w:r>
      <w:r w:rsidRPr="00B41DFA">
        <w:rPr>
          <w:lang w:eastAsia="en-AU"/>
        </w:rPr>
        <w:tab/>
        <w:t>that the club is holding a ballot; and</w:t>
      </w:r>
    </w:p>
    <w:p w:rsidR="00FB1454" w:rsidRPr="00B41DFA" w:rsidRDefault="00FB1454" w:rsidP="00FB1454">
      <w:pPr>
        <w:pStyle w:val="Apara"/>
        <w:rPr>
          <w:lang w:eastAsia="en-AU"/>
        </w:rPr>
      </w:pPr>
      <w:r w:rsidRPr="00B41DFA">
        <w:rPr>
          <w:lang w:eastAsia="en-AU"/>
        </w:rPr>
        <w:tab/>
        <w:t>(b)</w:t>
      </w:r>
      <w:r w:rsidRPr="00B41DFA">
        <w:rPr>
          <w:lang w:eastAsia="en-AU"/>
        </w:rPr>
        <w:tab/>
        <w:t>the reason for holding the ballot; and</w:t>
      </w:r>
    </w:p>
    <w:p w:rsidR="00FB1454" w:rsidRPr="00B41DFA" w:rsidRDefault="00FB1454" w:rsidP="00FB1454">
      <w:pPr>
        <w:pStyle w:val="Apara"/>
      </w:pPr>
      <w:r w:rsidRPr="00B41DFA">
        <w:lastRenderedPageBreak/>
        <w:tab/>
        <w:t>(c)</w:t>
      </w:r>
      <w:r w:rsidRPr="00B41DFA">
        <w:tab/>
        <w:t>how the ballot will be conducted; and</w:t>
      </w:r>
    </w:p>
    <w:p w:rsidR="00FB1454" w:rsidRPr="00B41DFA" w:rsidRDefault="00FB1454" w:rsidP="00FB1454">
      <w:pPr>
        <w:pStyle w:val="Apara"/>
      </w:pPr>
      <w:r w:rsidRPr="00B41DFA">
        <w:tab/>
        <w:t>(d)</w:t>
      </w:r>
      <w:r w:rsidRPr="00B41DFA">
        <w:tab/>
        <w:t>if the ballot will be conducted electronically—details of the electronic ballot; and</w:t>
      </w:r>
    </w:p>
    <w:p w:rsidR="00FB1454" w:rsidRPr="00B41DFA" w:rsidRDefault="00FB1454" w:rsidP="00FB1454">
      <w:pPr>
        <w:pStyle w:val="Apara"/>
      </w:pPr>
      <w:r w:rsidRPr="00B41DFA">
        <w:tab/>
        <w:t>(e)</w:t>
      </w:r>
      <w:r w:rsidRPr="00B41DFA">
        <w:tab/>
        <w:t>if the ballot will be conducted by an independent ballot service provider—</w:t>
      </w:r>
    </w:p>
    <w:p w:rsidR="00FB1454" w:rsidRPr="00B41DFA" w:rsidRDefault="00FB1454" w:rsidP="00FB1454">
      <w:pPr>
        <w:pStyle w:val="Asubpara"/>
      </w:pPr>
      <w:r w:rsidRPr="00B41DFA">
        <w:tab/>
        <w:t>(i)</w:t>
      </w:r>
      <w:r w:rsidRPr="00B41DFA">
        <w:tab/>
        <w:t>the name of the provider; and</w:t>
      </w:r>
    </w:p>
    <w:p w:rsidR="00FB1454" w:rsidRPr="00B41DFA" w:rsidRDefault="00FB1454" w:rsidP="00FB1454">
      <w:pPr>
        <w:pStyle w:val="Asubpara"/>
      </w:pPr>
      <w:r w:rsidRPr="00B41DFA">
        <w:tab/>
        <w:t>(ii)</w:t>
      </w:r>
      <w:r w:rsidRPr="00B41DFA">
        <w:tab/>
        <w:t>that the ballot will be conducted by that provider; and</w:t>
      </w:r>
    </w:p>
    <w:p w:rsidR="00FB1454" w:rsidRPr="00B41DFA" w:rsidRDefault="00FB1454" w:rsidP="00FB1454">
      <w:pPr>
        <w:pStyle w:val="Apara"/>
        <w:rPr>
          <w:lang w:eastAsia="en-AU"/>
        </w:rPr>
      </w:pPr>
      <w:r w:rsidRPr="00B41DFA">
        <w:rPr>
          <w:lang w:eastAsia="en-AU"/>
        </w:rPr>
        <w:tab/>
        <w:t>(f)</w:t>
      </w:r>
      <w:r w:rsidRPr="00B41DFA">
        <w:rPr>
          <w:lang w:eastAsia="en-AU"/>
        </w:rPr>
        <w:tab/>
        <w:t>the voting close date for the ballot.</w:t>
      </w:r>
    </w:p>
    <w:p w:rsidR="00FB1454" w:rsidRPr="00B41DFA" w:rsidRDefault="00FB1454" w:rsidP="00FB1454">
      <w:pPr>
        <w:pStyle w:val="aExamHdgss"/>
      </w:pPr>
      <w:r w:rsidRPr="00B41DFA">
        <w:t>Examples—par (c)</w:t>
      </w:r>
    </w:p>
    <w:p w:rsidR="00FB1454" w:rsidRPr="00B41DFA" w:rsidRDefault="00FB1454" w:rsidP="00FB1454">
      <w:pPr>
        <w:pStyle w:val="aExamINumss"/>
      </w:pPr>
      <w:r w:rsidRPr="00B41DFA">
        <w:t>1</w:t>
      </w:r>
      <w:r w:rsidRPr="00B41DFA">
        <w:tab/>
        <w:t>electronically</w:t>
      </w:r>
    </w:p>
    <w:p w:rsidR="00FB1454" w:rsidRPr="00B41DFA" w:rsidRDefault="00FB1454" w:rsidP="00FB1454">
      <w:pPr>
        <w:pStyle w:val="aExamINumss"/>
      </w:pPr>
      <w:r w:rsidRPr="00B41DFA">
        <w:t>2</w:t>
      </w:r>
      <w:r w:rsidRPr="00B41DFA">
        <w:tab/>
        <w:t>by mail</w:t>
      </w:r>
    </w:p>
    <w:p w:rsidR="00FB1454" w:rsidRPr="00B41DFA" w:rsidRDefault="00FB1454" w:rsidP="00FB1454">
      <w:pPr>
        <w:pStyle w:val="aExamHdgss"/>
      </w:pPr>
      <w:r w:rsidRPr="00B41DFA">
        <w:t>Example—par (d)</w:t>
      </w:r>
    </w:p>
    <w:p w:rsidR="00FB1454" w:rsidRPr="00B41DFA" w:rsidRDefault="00FB1454" w:rsidP="00FB1454">
      <w:pPr>
        <w:pStyle w:val="aExam"/>
        <w:keepNext/>
      </w:pPr>
      <w:r w:rsidRPr="00B41DFA">
        <w:t>the electronic process to be used including the way the votes will be counted</w:t>
      </w:r>
    </w:p>
    <w:p w:rsidR="00FB1454" w:rsidRPr="00B41DFA" w:rsidRDefault="00FB1454" w:rsidP="00FB1454">
      <w:pPr>
        <w:pStyle w:val="aNote"/>
      </w:pPr>
      <w:r w:rsidRPr="00B41DFA">
        <w:rPr>
          <w:rStyle w:val="charItals"/>
        </w:rPr>
        <w:t>Note</w:t>
      </w:r>
      <w:r w:rsidRPr="00B41DFA">
        <w:tab/>
        <w:t xml:space="preserve">An example is part of the regulation, is not exhaustive and may extend, but does not limit, the meaning of the provision in which it appears (see </w:t>
      </w:r>
      <w:hyperlink r:id="rId44" w:tooltip="A2001-14" w:history="1">
        <w:r w:rsidRPr="00B41DFA">
          <w:rPr>
            <w:rStyle w:val="charCitHyperlinkAbbrev"/>
          </w:rPr>
          <w:t>Legislation Act</w:t>
        </w:r>
      </w:hyperlink>
      <w:r w:rsidRPr="00B41DFA">
        <w:t>, s 126 and s 132).</w:t>
      </w:r>
    </w:p>
    <w:p w:rsidR="00FB1454" w:rsidRPr="00B41DFA" w:rsidRDefault="00FB1454" w:rsidP="00FB1454">
      <w:pPr>
        <w:pStyle w:val="Amain"/>
        <w:rPr>
          <w:lang w:eastAsia="en-AU"/>
        </w:rPr>
      </w:pPr>
      <w:r w:rsidRPr="00B41DFA">
        <w:rPr>
          <w:lang w:eastAsia="en-AU"/>
        </w:rPr>
        <w:tab/>
        <w:t>(2)</w:t>
      </w:r>
      <w:r w:rsidRPr="00B41DFA">
        <w:rPr>
          <w:lang w:eastAsia="en-AU"/>
        </w:rPr>
        <w:tab/>
        <w:t xml:space="preserve">The club secretary must, at the same time, give the commission a </w:t>
      </w:r>
      <w:r w:rsidRPr="00B41DFA">
        <w:rPr>
          <w:szCs w:val="24"/>
          <w:lang w:eastAsia="en-AU"/>
        </w:rPr>
        <w:t>copy of the following:</w:t>
      </w:r>
    </w:p>
    <w:p w:rsidR="00FB1454" w:rsidRPr="00B41DFA" w:rsidRDefault="00FB1454" w:rsidP="00FB1454">
      <w:pPr>
        <w:pStyle w:val="Apara"/>
      </w:pPr>
      <w:r w:rsidRPr="00B41DFA">
        <w:rPr>
          <w:lang w:eastAsia="en-AU"/>
        </w:rPr>
        <w:tab/>
        <w:t>(a)</w:t>
      </w:r>
      <w:r w:rsidRPr="00B41DFA">
        <w:rPr>
          <w:lang w:eastAsia="en-AU"/>
        </w:rPr>
        <w:tab/>
      </w:r>
      <w:r w:rsidRPr="00B41DFA">
        <w:t>the information about the ballot proposed to be published and displayed under section 18 (1);</w:t>
      </w:r>
    </w:p>
    <w:p w:rsidR="00FB1454" w:rsidRPr="00B41DFA" w:rsidRDefault="00FB1454" w:rsidP="00FB1454">
      <w:pPr>
        <w:pStyle w:val="Apara"/>
        <w:rPr>
          <w:lang w:eastAsia="en-AU"/>
        </w:rPr>
      </w:pPr>
      <w:r w:rsidRPr="00B41DFA">
        <w:rPr>
          <w:lang w:eastAsia="en-AU"/>
        </w:rPr>
        <w:tab/>
        <w:t>(b)</w:t>
      </w:r>
      <w:r w:rsidRPr="00B41DFA">
        <w:rPr>
          <w:lang w:eastAsia="en-AU"/>
        </w:rPr>
        <w:tab/>
        <w:t>the documents mentioned in section 20 (1).</w:t>
      </w:r>
    </w:p>
    <w:p w:rsidR="00FB1454" w:rsidRPr="00B41DFA" w:rsidRDefault="00FB1454" w:rsidP="00FB1454">
      <w:pPr>
        <w:pStyle w:val="Amain"/>
        <w:keepNext/>
        <w:rPr>
          <w:lang w:eastAsia="en-AU"/>
        </w:rPr>
      </w:pPr>
      <w:r w:rsidRPr="00B41DFA">
        <w:rPr>
          <w:lang w:eastAsia="en-AU"/>
        </w:rPr>
        <w:tab/>
        <w:t>(3)</w:t>
      </w:r>
      <w:r w:rsidRPr="00B41DFA">
        <w:rPr>
          <w:lang w:eastAsia="en-AU"/>
        </w:rPr>
        <w:tab/>
        <w:t>In this section:</w:t>
      </w:r>
    </w:p>
    <w:p w:rsidR="00FB1454" w:rsidRPr="00B41DFA" w:rsidRDefault="00FB1454" w:rsidP="00FB1454">
      <w:pPr>
        <w:pStyle w:val="aDef"/>
        <w:rPr>
          <w:lang w:eastAsia="en-AU"/>
        </w:rPr>
      </w:pPr>
      <w:r w:rsidRPr="00B41DFA">
        <w:rPr>
          <w:rStyle w:val="charBoldItals"/>
        </w:rPr>
        <w:t>appropriate time</w:t>
      </w:r>
      <w:r w:rsidRPr="00B41DFA">
        <w:rPr>
          <w:lang w:eastAsia="en-AU"/>
        </w:rPr>
        <w:t xml:space="preserve"> means—</w:t>
      </w:r>
    </w:p>
    <w:p w:rsidR="00FB1454" w:rsidRPr="00B41DFA" w:rsidRDefault="00FB1454" w:rsidP="00FB1454">
      <w:pPr>
        <w:pStyle w:val="aDefpara"/>
        <w:rPr>
          <w:lang w:eastAsia="en-AU"/>
        </w:rPr>
      </w:pPr>
      <w:r w:rsidRPr="00B41DFA">
        <w:rPr>
          <w:lang w:eastAsia="en-AU"/>
        </w:rPr>
        <w:tab/>
        <w:t>(a)</w:t>
      </w:r>
      <w:r w:rsidRPr="00B41DFA">
        <w:rPr>
          <w:lang w:eastAsia="en-AU"/>
        </w:rPr>
        <w:tab/>
        <w:t>at least 5 weeks before the voting close date for the ballot; and</w:t>
      </w:r>
    </w:p>
    <w:p w:rsidR="00FB1454" w:rsidRPr="00B41DFA" w:rsidRDefault="00FB1454" w:rsidP="00FB1454">
      <w:pPr>
        <w:pStyle w:val="aDefpara"/>
        <w:rPr>
          <w:lang w:eastAsia="en-AU"/>
        </w:rPr>
      </w:pPr>
      <w:r w:rsidRPr="00B41DFA">
        <w:rPr>
          <w:lang w:eastAsia="en-AU"/>
        </w:rPr>
        <w:tab/>
        <w:t>(b)</w:t>
      </w:r>
      <w:r w:rsidRPr="00B41DFA">
        <w:rPr>
          <w:lang w:eastAsia="en-AU"/>
        </w:rPr>
        <w:tab/>
        <w:t>at least 2 weeks before the day—</w:t>
      </w:r>
    </w:p>
    <w:p w:rsidR="00FB1454" w:rsidRPr="00B41DFA" w:rsidRDefault="00FB1454" w:rsidP="00FB1454">
      <w:pPr>
        <w:pStyle w:val="aDefsubpara"/>
      </w:pPr>
      <w:r w:rsidRPr="00B41DFA">
        <w:tab/>
        <w:t>(i)</w:t>
      </w:r>
      <w:r w:rsidRPr="00B41DFA">
        <w:tab/>
      </w:r>
      <w:r w:rsidRPr="00B41DFA">
        <w:rPr>
          <w:lang w:eastAsia="en-AU"/>
        </w:rPr>
        <w:t>information about the ballot</w:t>
      </w:r>
      <w:r w:rsidRPr="00B41DFA">
        <w:t xml:space="preserve"> is published </w:t>
      </w:r>
      <w:r w:rsidRPr="00B41DFA">
        <w:rPr>
          <w:lang w:eastAsia="en-AU"/>
        </w:rPr>
        <w:t>on the club’s website</w:t>
      </w:r>
      <w:r w:rsidRPr="00B41DFA">
        <w:t xml:space="preserve"> under section 18 (1) (a); and</w:t>
      </w:r>
    </w:p>
    <w:p w:rsidR="00FB1454" w:rsidRPr="00B41DFA" w:rsidRDefault="00FB1454" w:rsidP="00FB1454">
      <w:pPr>
        <w:pStyle w:val="aDefsubpara"/>
      </w:pPr>
      <w:r w:rsidRPr="00B41DFA">
        <w:rPr>
          <w:lang w:eastAsia="en-AU"/>
        </w:rPr>
        <w:lastRenderedPageBreak/>
        <w:tab/>
        <w:t>(ii)</w:t>
      </w:r>
      <w:r w:rsidRPr="00B41DFA">
        <w:rPr>
          <w:lang w:eastAsia="en-AU"/>
        </w:rPr>
        <w:tab/>
        <w:t>the material required to be given under section 20 (Voting members must be given ballot documents) is given.</w:t>
      </w:r>
    </w:p>
    <w:p w:rsidR="00FB1454" w:rsidRPr="00B41DFA" w:rsidRDefault="00FB1454" w:rsidP="00FB1454">
      <w:pPr>
        <w:pStyle w:val="AH5Sec"/>
        <w:rPr>
          <w:lang w:eastAsia="en-AU"/>
        </w:rPr>
      </w:pPr>
      <w:bookmarkStart w:id="29" w:name="_Toc532221207"/>
      <w:r w:rsidRPr="00B043CD">
        <w:rPr>
          <w:rStyle w:val="CharSectNo"/>
        </w:rPr>
        <w:t>18</w:t>
      </w:r>
      <w:r w:rsidRPr="00B41DFA">
        <w:rPr>
          <w:lang w:eastAsia="en-AU"/>
        </w:rPr>
        <w:tab/>
        <w:t>Information about ballot</w:t>
      </w:r>
      <w:bookmarkEnd w:id="29"/>
    </w:p>
    <w:p w:rsidR="00FB1454" w:rsidRPr="00B41DFA" w:rsidRDefault="00FB1454" w:rsidP="00FB1454">
      <w:pPr>
        <w:pStyle w:val="Amain"/>
        <w:rPr>
          <w:lang w:eastAsia="en-AU"/>
        </w:rPr>
      </w:pPr>
      <w:r w:rsidRPr="00B41DFA">
        <w:rPr>
          <w:lang w:eastAsia="en-AU"/>
        </w:rPr>
        <w:tab/>
        <w:t>(1)</w:t>
      </w:r>
      <w:r w:rsidRPr="00B41DFA">
        <w:rPr>
          <w:lang w:eastAsia="en-AU"/>
        </w:rPr>
        <w:tab/>
        <w:t xml:space="preserve">At least 3 weeks before the voting close date for a ballot for a club, the </w:t>
      </w:r>
      <w:r w:rsidRPr="00B41DFA">
        <w:t>club secretary</w:t>
      </w:r>
      <w:r w:rsidRPr="00B41DFA">
        <w:rPr>
          <w:lang w:eastAsia="en-AU"/>
        </w:rPr>
        <w:t xml:space="preserve"> must—</w:t>
      </w:r>
    </w:p>
    <w:p w:rsidR="00FB1454" w:rsidRPr="00B41DFA" w:rsidRDefault="00FB1454" w:rsidP="00FB1454">
      <w:pPr>
        <w:pStyle w:val="Apara"/>
        <w:rPr>
          <w:lang w:eastAsia="en-AU"/>
        </w:rPr>
      </w:pPr>
      <w:r w:rsidRPr="00B41DFA">
        <w:rPr>
          <w:lang w:eastAsia="en-AU"/>
        </w:rPr>
        <w:tab/>
        <w:t>(a)</w:t>
      </w:r>
      <w:r w:rsidRPr="00B41DFA">
        <w:rPr>
          <w:lang w:eastAsia="en-AU"/>
        </w:rPr>
        <w:tab/>
        <w:t>publish information about the ballot on the club’s website; and</w:t>
      </w:r>
    </w:p>
    <w:p w:rsidR="00FB1454" w:rsidRPr="00B41DFA" w:rsidRDefault="00FB1454" w:rsidP="00FB1454">
      <w:pPr>
        <w:pStyle w:val="Apara"/>
        <w:rPr>
          <w:lang w:eastAsia="en-AU"/>
        </w:rPr>
      </w:pPr>
      <w:r w:rsidRPr="00B41DFA">
        <w:rPr>
          <w:lang w:eastAsia="en-AU"/>
        </w:rPr>
        <w:tab/>
        <w:t>(b)</w:t>
      </w:r>
      <w:r w:rsidRPr="00B41DFA">
        <w:rPr>
          <w:lang w:eastAsia="en-AU"/>
        </w:rPr>
        <w:tab/>
        <w:t>display the information in each premises to which the ballot relates.</w:t>
      </w:r>
    </w:p>
    <w:p w:rsidR="00FB1454" w:rsidRPr="00B41DFA" w:rsidRDefault="00FB1454" w:rsidP="00FB1454">
      <w:pPr>
        <w:pStyle w:val="Amain"/>
        <w:rPr>
          <w:lang w:eastAsia="en-AU"/>
        </w:rPr>
      </w:pPr>
      <w:r w:rsidRPr="00B41DFA">
        <w:rPr>
          <w:lang w:eastAsia="en-AU"/>
        </w:rPr>
        <w:tab/>
        <w:t>(2)</w:t>
      </w:r>
      <w:r w:rsidRPr="00B41DFA">
        <w:rPr>
          <w:lang w:eastAsia="en-AU"/>
        </w:rPr>
        <w:tab/>
        <w:t>In this section:</w:t>
      </w:r>
    </w:p>
    <w:p w:rsidR="00FB1454" w:rsidRPr="00B41DFA" w:rsidRDefault="00FB1454" w:rsidP="00FB1454">
      <w:pPr>
        <w:pStyle w:val="aDef"/>
        <w:rPr>
          <w:lang w:eastAsia="en-AU"/>
        </w:rPr>
      </w:pPr>
      <w:r w:rsidRPr="00B41DFA">
        <w:rPr>
          <w:rStyle w:val="charBoldItals"/>
        </w:rPr>
        <w:t>information</w:t>
      </w:r>
      <w:r w:rsidRPr="00B41DFA">
        <w:rPr>
          <w:lang w:eastAsia="en-AU"/>
        </w:rPr>
        <w:t>, about a ballot, means—</w:t>
      </w:r>
    </w:p>
    <w:p w:rsidR="00FB1454" w:rsidRPr="00B41DFA" w:rsidRDefault="00FB1454" w:rsidP="00FB1454">
      <w:pPr>
        <w:pStyle w:val="aDefpara"/>
        <w:rPr>
          <w:lang w:eastAsia="en-AU"/>
        </w:rPr>
      </w:pPr>
      <w:r w:rsidRPr="00B41DFA">
        <w:rPr>
          <w:lang w:eastAsia="en-AU"/>
        </w:rPr>
        <w:tab/>
        <w:t>(a)</w:t>
      </w:r>
      <w:r w:rsidRPr="00B41DFA">
        <w:rPr>
          <w:lang w:eastAsia="en-AU"/>
        </w:rPr>
        <w:tab/>
        <w:t>a description of the question to be decided by the ballot; and</w:t>
      </w:r>
    </w:p>
    <w:p w:rsidR="00FB1454" w:rsidRPr="00B41DFA" w:rsidRDefault="00FB1454" w:rsidP="00FB1454">
      <w:pPr>
        <w:pStyle w:val="aDefpara"/>
        <w:rPr>
          <w:lang w:eastAsia="en-AU"/>
        </w:rPr>
      </w:pPr>
      <w:r w:rsidRPr="00B41DFA">
        <w:rPr>
          <w:lang w:eastAsia="en-AU"/>
        </w:rPr>
        <w:tab/>
        <w:t>(b)</w:t>
      </w:r>
      <w:r w:rsidRPr="00B41DFA">
        <w:rPr>
          <w:lang w:eastAsia="en-AU"/>
        </w:rPr>
        <w:tab/>
        <w:t>the voting close date for the ballot; and</w:t>
      </w:r>
    </w:p>
    <w:p w:rsidR="00FB1454" w:rsidRPr="00B41DFA" w:rsidRDefault="00FB1454" w:rsidP="00FB1454">
      <w:pPr>
        <w:pStyle w:val="Apara"/>
        <w:rPr>
          <w:lang w:eastAsia="en-AU"/>
        </w:rPr>
      </w:pPr>
      <w:r w:rsidRPr="00B41DFA">
        <w:rPr>
          <w:lang w:eastAsia="en-AU"/>
        </w:rPr>
        <w:tab/>
        <w:t>(c)</w:t>
      </w:r>
      <w:r w:rsidRPr="00B41DFA">
        <w:rPr>
          <w:lang w:eastAsia="en-AU"/>
        </w:rPr>
        <w:tab/>
        <w:t>where further information about the ballot may be obtained.</w:t>
      </w:r>
    </w:p>
    <w:p w:rsidR="00FB1454" w:rsidRPr="00B41DFA" w:rsidRDefault="00FB1454" w:rsidP="00FB1454">
      <w:pPr>
        <w:pStyle w:val="aExamHdgpar"/>
      </w:pPr>
      <w:r w:rsidRPr="00B41DFA">
        <w:t>Examples—par (c)</w:t>
      </w:r>
    </w:p>
    <w:p w:rsidR="00FB1454" w:rsidRPr="00B41DFA" w:rsidRDefault="00FB1454" w:rsidP="00FB1454">
      <w:pPr>
        <w:pStyle w:val="aExamINumpar"/>
      </w:pPr>
      <w:r w:rsidRPr="00B41DFA">
        <w:t>1</w:t>
      </w:r>
      <w:r w:rsidRPr="00B41DFA">
        <w:tab/>
        <w:t>on the club’s website</w:t>
      </w:r>
    </w:p>
    <w:p w:rsidR="00FB1454" w:rsidRPr="00B41DFA" w:rsidRDefault="00FB1454" w:rsidP="00FB1454">
      <w:pPr>
        <w:pStyle w:val="aExamINumpar"/>
      </w:pPr>
      <w:r w:rsidRPr="00B41DFA">
        <w:t>2</w:t>
      </w:r>
      <w:r w:rsidRPr="00B41DFA">
        <w:tab/>
        <w:t>from the front desk of the club</w:t>
      </w:r>
    </w:p>
    <w:p w:rsidR="00FB1454" w:rsidRPr="00B41DFA" w:rsidRDefault="00FB1454" w:rsidP="00FB1454">
      <w:pPr>
        <w:pStyle w:val="aNotepar"/>
      </w:pPr>
      <w:r w:rsidRPr="00B41DFA">
        <w:rPr>
          <w:rStyle w:val="charItals"/>
        </w:rPr>
        <w:t>Note</w:t>
      </w:r>
      <w:r w:rsidRPr="00B41DFA">
        <w:tab/>
        <w:t xml:space="preserve">An example is part of the regulation, is not exhaustive and may extend, but does not limit, the meaning of the provision in which it appears (see </w:t>
      </w:r>
      <w:hyperlink r:id="rId45" w:tooltip="A2001-14" w:history="1">
        <w:r w:rsidRPr="00B41DFA">
          <w:rPr>
            <w:rStyle w:val="charCitHyperlinkAbbrev"/>
          </w:rPr>
          <w:t>Legislation Act</w:t>
        </w:r>
      </w:hyperlink>
      <w:r w:rsidRPr="00B41DFA">
        <w:t>, s 126 and s 132).</w:t>
      </w:r>
    </w:p>
    <w:p w:rsidR="009720B3" w:rsidRDefault="009720B3">
      <w:pPr>
        <w:pStyle w:val="AH5Sec"/>
      </w:pPr>
      <w:bookmarkStart w:id="30" w:name="_Toc532221208"/>
      <w:r w:rsidRPr="00B043CD">
        <w:rPr>
          <w:rStyle w:val="CharSectNo"/>
        </w:rPr>
        <w:t>19</w:t>
      </w:r>
      <w:r>
        <w:tab/>
        <w:t>Commission may inspect ballot documents</w:t>
      </w:r>
      <w:bookmarkEnd w:id="30"/>
    </w:p>
    <w:p w:rsidR="009720B3" w:rsidRDefault="009720B3" w:rsidP="00FB1454">
      <w:pPr>
        <w:pStyle w:val="Amain"/>
        <w:keepNext/>
      </w:pPr>
      <w:r>
        <w:tab/>
        <w:t>(1)</w:t>
      </w:r>
      <w:r>
        <w:tab/>
        <w:t>The commission may inspect a club’s ballot documents.</w:t>
      </w:r>
    </w:p>
    <w:p w:rsidR="009720B3" w:rsidRDefault="009720B3">
      <w:pPr>
        <w:pStyle w:val="Amain"/>
      </w:pPr>
      <w:r>
        <w:tab/>
        <w:t>(2)</w:t>
      </w:r>
      <w:r>
        <w:tab/>
        <w:t>The commission may, in writing, require the club to amend a ballot document if satisfied that the amendment is necessary to ensure that—</w:t>
      </w:r>
    </w:p>
    <w:p w:rsidR="009720B3" w:rsidRDefault="009720B3">
      <w:pPr>
        <w:pStyle w:val="Apara"/>
      </w:pPr>
      <w:r>
        <w:tab/>
        <w:t>(a)</w:t>
      </w:r>
      <w:r>
        <w:tab/>
        <w:t xml:space="preserve">the ballot is fair and transparent; or </w:t>
      </w:r>
    </w:p>
    <w:p w:rsidR="009720B3" w:rsidRDefault="009720B3">
      <w:pPr>
        <w:pStyle w:val="Apara"/>
      </w:pPr>
      <w:r>
        <w:tab/>
        <w:t>(b)</w:t>
      </w:r>
      <w:r>
        <w:tab/>
        <w:t>the ballot is held in accordance with this part.</w:t>
      </w:r>
    </w:p>
    <w:p w:rsidR="009F622D" w:rsidRPr="00FE434D" w:rsidRDefault="009F622D" w:rsidP="00405D2A">
      <w:pPr>
        <w:pStyle w:val="Amain"/>
        <w:keepNext/>
      </w:pPr>
      <w:r w:rsidRPr="00FE434D">
        <w:lastRenderedPageBreak/>
        <w:tab/>
        <w:t>(3)</w:t>
      </w:r>
      <w:r w:rsidRPr="00FE434D">
        <w:tab/>
        <w:t>In this section:</w:t>
      </w:r>
    </w:p>
    <w:p w:rsidR="009F622D" w:rsidRPr="00FE434D" w:rsidRDefault="009F622D" w:rsidP="009F622D">
      <w:pPr>
        <w:pStyle w:val="aDef"/>
      </w:pPr>
      <w:r w:rsidRPr="009E15CA">
        <w:rPr>
          <w:rStyle w:val="charBoldItals"/>
        </w:rPr>
        <w:t>ballot document</w:t>
      </w:r>
      <w:r w:rsidRPr="00FE434D">
        <w:t xml:space="preserve"> means a document mentioned in section 17 (2).</w:t>
      </w:r>
    </w:p>
    <w:p w:rsidR="00FB1454" w:rsidRPr="00B41DFA" w:rsidRDefault="00FB1454" w:rsidP="00FB1454">
      <w:pPr>
        <w:pStyle w:val="AH5Sec"/>
      </w:pPr>
      <w:bookmarkStart w:id="31" w:name="_Toc532221209"/>
      <w:r w:rsidRPr="00B043CD">
        <w:rPr>
          <w:rStyle w:val="CharSectNo"/>
        </w:rPr>
        <w:t>20</w:t>
      </w:r>
      <w:r w:rsidRPr="00B41DFA">
        <w:tab/>
        <w:t>Voting members must be given ballot documents</w:t>
      </w:r>
      <w:bookmarkEnd w:id="31"/>
    </w:p>
    <w:p w:rsidR="00FB1454" w:rsidRPr="00B41DFA" w:rsidRDefault="00FB1454" w:rsidP="00FB1454">
      <w:pPr>
        <w:pStyle w:val="Amain"/>
      </w:pPr>
      <w:r w:rsidRPr="00B41DFA">
        <w:tab/>
        <w:t>(1)</w:t>
      </w:r>
      <w:r w:rsidRPr="00B41DFA">
        <w:tab/>
        <w:t>At least 3 weeks before the voting close date for a ballot, the person conducting the ballot must give each voting member the following:</w:t>
      </w:r>
    </w:p>
    <w:p w:rsidR="00FB1454" w:rsidRPr="00B41DFA" w:rsidRDefault="00FB1454" w:rsidP="00FB1454">
      <w:pPr>
        <w:pStyle w:val="Apara"/>
      </w:pPr>
      <w:r w:rsidRPr="00B41DFA">
        <w:tab/>
        <w:t>(a)</w:t>
      </w:r>
      <w:r w:rsidRPr="00B41DFA">
        <w:tab/>
        <w:t>a voting document;</w:t>
      </w:r>
    </w:p>
    <w:p w:rsidR="00FB1454" w:rsidRPr="00B41DFA" w:rsidRDefault="00FB1454" w:rsidP="00FB1454">
      <w:pPr>
        <w:pStyle w:val="aNotepar"/>
      </w:pPr>
      <w:r w:rsidRPr="00B41DFA">
        <w:rPr>
          <w:rStyle w:val="charItals"/>
        </w:rPr>
        <w:t>Note</w:t>
      </w:r>
      <w:r w:rsidRPr="00B41DFA">
        <w:rPr>
          <w:rStyle w:val="charItals"/>
        </w:rPr>
        <w:tab/>
      </w:r>
      <w:r w:rsidRPr="00B41DFA">
        <w:t xml:space="preserve">If a form is approved under the </w:t>
      </w:r>
      <w:hyperlink r:id="rId46" w:tooltip="Gambling and Racing Control Act 1999" w:history="1">
        <w:r w:rsidRPr="00760A35">
          <w:rPr>
            <w:rStyle w:val="charCitHyperlinkAbbrev"/>
          </w:rPr>
          <w:t>Control Act</w:t>
        </w:r>
      </w:hyperlink>
      <w:r w:rsidRPr="00B41DFA">
        <w:t>, s 53D for this provision, the form must be used.</w:t>
      </w:r>
    </w:p>
    <w:p w:rsidR="00FB1454" w:rsidRPr="00B41DFA" w:rsidRDefault="00FB1454" w:rsidP="00FB1454">
      <w:pPr>
        <w:pStyle w:val="Apara"/>
      </w:pPr>
      <w:r w:rsidRPr="00B41DFA">
        <w:tab/>
        <w:t>(b)</w:t>
      </w:r>
      <w:r w:rsidRPr="00B41DFA">
        <w:tab/>
        <w:t>if the ballot is not to be conducted electronically—</w:t>
      </w:r>
    </w:p>
    <w:p w:rsidR="00FB1454" w:rsidRPr="00B41DFA" w:rsidRDefault="00FB1454" w:rsidP="00FB1454">
      <w:pPr>
        <w:pStyle w:val="Asubpara"/>
      </w:pPr>
      <w:r w:rsidRPr="00B41DFA">
        <w:tab/>
        <w:t>(i)</w:t>
      </w:r>
      <w:r w:rsidRPr="00B41DFA">
        <w:tab/>
        <w:t>a reply paid envelope addressed to the person conducting the ballot for the return of the voting document; or</w:t>
      </w:r>
    </w:p>
    <w:p w:rsidR="00FB1454" w:rsidRPr="00B41DFA" w:rsidRDefault="00FB1454" w:rsidP="00FB1454">
      <w:pPr>
        <w:pStyle w:val="Asubpara"/>
      </w:pPr>
      <w:r w:rsidRPr="00B41DFA">
        <w:rPr>
          <w:lang w:eastAsia="en-AU"/>
        </w:rPr>
        <w:tab/>
        <w:t>(ii)</w:t>
      </w:r>
      <w:r w:rsidRPr="00B41DFA">
        <w:rPr>
          <w:lang w:eastAsia="en-AU"/>
        </w:rPr>
        <w:tab/>
        <w:t xml:space="preserve">the address </w:t>
      </w:r>
      <w:r w:rsidRPr="00B41DFA">
        <w:t>to which the voting document is to be returned;</w:t>
      </w:r>
    </w:p>
    <w:p w:rsidR="00FB1454" w:rsidRPr="00B41DFA" w:rsidRDefault="00FB1454" w:rsidP="00FB1454">
      <w:pPr>
        <w:pStyle w:val="Apara"/>
        <w:rPr>
          <w:lang w:eastAsia="en-AU"/>
        </w:rPr>
      </w:pPr>
      <w:r w:rsidRPr="00B41DFA">
        <w:tab/>
        <w:t>(c)</w:t>
      </w:r>
      <w:r w:rsidRPr="00B41DFA">
        <w:tab/>
      </w:r>
      <w:r w:rsidRPr="00B41DFA">
        <w:rPr>
          <w:lang w:eastAsia="en-AU"/>
        </w:rPr>
        <w:t>a notice containing the following information:</w:t>
      </w:r>
    </w:p>
    <w:p w:rsidR="00FB1454" w:rsidRPr="00B41DFA" w:rsidRDefault="00FB1454" w:rsidP="00FB1454">
      <w:pPr>
        <w:pStyle w:val="Asubpara"/>
        <w:rPr>
          <w:lang w:eastAsia="en-AU"/>
        </w:rPr>
      </w:pPr>
      <w:r w:rsidRPr="00B41DFA">
        <w:rPr>
          <w:lang w:eastAsia="en-AU"/>
        </w:rPr>
        <w:tab/>
        <w:t>(i)</w:t>
      </w:r>
      <w:r w:rsidRPr="00B41DFA">
        <w:rPr>
          <w:lang w:eastAsia="en-AU"/>
        </w:rPr>
        <w:tab/>
        <w:t>in relation to the question to be decided by the voting members—</w:t>
      </w:r>
    </w:p>
    <w:p w:rsidR="00FB1454" w:rsidRPr="00B41DFA" w:rsidRDefault="00FB1454" w:rsidP="00FB1454">
      <w:pPr>
        <w:pStyle w:val="Asubsubpara"/>
        <w:rPr>
          <w:lang w:eastAsia="en-AU"/>
        </w:rPr>
      </w:pPr>
      <w:r w:rsidRPr="00B41DFA">
        <w:rPr>
          <w:lang w:eastAsia="en-AU"/>
        </w:rPr>
        <w:tab/>
        <w:t>(A)</w:t>
      </w:r>
      <w:r w:rsidRPr="00B41DFA">
        <w:rPr>
          <w:lang w:eastAsia="en-AU"/>
        </w:rPr>
        <w:tab/>
        <w:t>a fair description of the question; and</w:t>
      </w:r>
    </w:p>
    <w:p w:rsidR="00FB1454" w:rsidRPr="00B41DFA" w:rsidRDefault="00FB1454" w:rsidP="00FB1454">
      <w:pPr>
        <w:pStyle w:val="Asubsubpara"/>
        <w:rPr>
          <w:lang w:eastAsia="en-AU"/>
        </w:rPr>
      </w:pPr>
      <w:r w:rsidRPr="00B41DFA">
        <w:rPr>
          <w:lang w:eastAsia="en-AU"/>
        </w:rPr>
        <w:tab/>
        <w:t>(B)</w:t>
      </w:r>
      <w:r w:rsidRPr="00B41DFA">
        <w:rPr>
          <w:lang w:eastAsia="en-AU"/>
        </w:rPr>
        <w:tab/>
        <w:t>a balanced outline of arguments for and against the question; and</w:t>
      </w:r>
    </w:p>
    <w:p w:rsidR="00FB1454" w:rsidRPr="00B41DFA" w:rsidRDefault="00FB1454" w:rsidP="00FB1454">
      <w:pPr>
        <w:pStyle w:val="Asubsubpara"/>
        <w:rPr>
          <w:lang w:eastAsia="en-AU"/>
        </w:rPr>
      </w:pPr>
      <w:r w:rsidRPr="00B41DFA">
        <w:rPr>
          <w:lang w:eastAsia="en-AU"/>
        </w:rPr>
        <w:tab/>
        <w:t>(C)</w:t>
      </w:r>
      <w:r w:rsidRPr="00B41DFA">
        <w:rPr>
          <w:lang w:eastAsia="en-AU"/>
        </w:rPr>
        <w:tab/>
        <w:t>a balanced appraisal of the consequences of any possible decision;</w:t>
      </w:r>
    </w:p>
    <w:p w:rsidR="00FB1454" w:rsidRPr="00B41DFA" w:rsidRDefault="00FB1454" w:rsidP="00FB1454">
      <w:pPr>
        <w:pStyle w:val="Asubpara"/>
        <w:rPr>
          <w:lang w:eastAsia="en-AU"/>
        </w:rPr>
      </w:pPr>
      <w:r w:rsidRPr="00B41DFA">
        <w:rPr>
          <w:lang w:eastAsia="en-AU"/>
        </w:rPr>
        <w:tab/>
        <w:t>(ii)</w:t>
      </w:r>
      <w:r w:rsidRPr="00B41DFA">
        <w:rPr>
          <w:lang w:eastAsia="en-AU"/>
        </w:rPr>
        <w:tab/>
        <w:t>the voting close date;</w:t>
      </w:r>
    </w:p>
    <w:p w:rsidR="00FB1454" w:rsidRPr="00B41DFA" w:rsidRDefault="00FB1454" w:rsidP="00FB1454">
      <w:pPr>
        <w:pStyle w:val="Asubpara"/>
        <w:rPr>
          <w:lang w:eastAsia="en-AU"/>
        </w:rPr>
      </w:pPr>
      <w:r w:rsidRPr="00B41DFA">
        <w:rPr>
          <w:lang w:eastAsia="en-AU"/>
        </w:rPr>
        <w:tab/>
        <w:t>(iii)</w:t>
      </w:r>
      <w:r w:rsidRPr="00B41DFA">
        <w:rPr>
          <w:lang w:eastAsia="en-AU"/>
        </w:rPr>
        <w:tab/>
        <w:t>when and where the results of the ballot may be obtained.</w:t>
      </w:r>
    </w:p>
    <w:p w:rsidR="00FB1454" w:rsidRPr="00B41DFA" w:rsidRDefault="00FB1454" w:rsidP="00FB1454">
      <w:pPr>
        <w:pStyle w:val="aNote"/>
        <w:keepNext/>
        <w:rPr>
          <w:lang w:eastAsia="en-AU"/>
        </w:rPr>
      </w:pPr>
      <w:r w:rsidRPr="00B41DFA">
        <w:rPr>
          <w:rStyle w:val="charItals"/>
        </w:rPr>
        <w:t>Note 1</w:t>
      </w:r>
      <w:r w:rsidRPr="00B41DFA">
        <w:rPr>
          <w:rStyle w:val="charItals"/>
        </w:rPr>
        <w:tab/>
      </w:r>
      <w:r w:rsidRPr="00B41DFA">
        <w:rPr>
          <w:lang w:eastAsia="en-AU"/>
        </w:rPr>
        <w:t xml:space="preserve">The </w:t>
      </w:r>
      <w:r w:rsidRPr="00B41DFA">
        <w:t>person conducting the ballot</w:t>
      </w:r>
      <w:r w:rsidRPr="00B41DFA">
        <w:rPr>
          <w:lang w:eastAsia="en-AU"/>
        </w:rPr>
        <w:t xml:space="preserve"> may post, fax or email the material to club members (see </w:t>
      </w:r>
      <w:hyperlink r:id="rId47" w:tooltip="A2001-14" w:history="1">
        <w:r w:rsidRPr="00B41DFA">
          <w:rPr>
            <w:rStyle w:val="charCitHyperlinkAbbrev"/>
          </w:rPr>
          <w:t>Legislation Act</w:t>
        </w:r>
      </w:hyperlink>
      <w:r w:rsidRPr="00B41DFA">
        <w:rPr>
          <w:lang w:eastAsia="en-AU"/>
        </w:rPr>
        <w:t>, s 247 (Service of documents on individuals) and pt 19.5 (Service of documents) generally).</w:t>
      </w:r>
    </w:p>
    <w:p w:rsidR="00FB1454" w:rsidRPr="00B41DFA" w:rsidRDefault="00FB1454" w:rsidP="00FB1454">
      <w:pPr>
        <w:pStyle w:val="aNote"/>
        <w:rPr>
          <w:lang w:eastAsia="en-AU"/>
        </w:rPr>
      </w:pPr>
      <w:r w:rsidRPr="00B41DFA">
        <w:rPr>
          <w:rStyle w:val="charItals"/>
        </w:rPr>
        <w:t>Note 2</w:t>
      </w:r>
      <w:r w:rsidRPr="00B41DFA">
        <w:rPr>
          <w:rStyle w:val="charItals"/>
        </w:rPr>
        <w:tab/>
      </w:r>
      <w:r w:rsidRPr="00B41DFA">
        <w:rPr>
          <w:lang w:eastAsia="en-AU"/>
        </w:rPr>
        <w:t xml:space="preserve">Notice may be given electronically in certain circumstances (see </w:t>
      </w:r>
      <w:hyperlink r:id="rId48" w:tooltip="A2001-10" w:history="1">
        <w:r w:rsidRPr="00B41DFA">
          <w:rPr>
            <w:rStyle w:val="charCitHyperlinkItal"/>
          </w:rPr>
          <w:t>Electronic Transactions Act 2001</w:t>
        </w:r>
      </w:hyperlink>
      <w:r w:rsidRPr="00B41DFA">
        <w:rPr>
          <w:lang w:eastAsia="en-AU"/>
        </w:rPr>
        <w:t>, s 8).</w:t>
      </w:r>
    </w:p>
    <w:p w:rsidR="00FB1454" w:rsidRPr="00B41DFA" w:rsidRDefault="00FB1454" w:rsidP="00FB1454">
      <w:pPr>
        <w:pStyle w:val="Amain"/>
        <w:rPr>
          <w:lang w:eastAsia="en-AU"/>
        </w:rPr>
      </w:pPr>
      <w:r w:rsidRPr="00B41DFA">
        <w:rPr>
          <w:lang w:eastAsia="en-AU"/>
        </w:rPr>
        <w:lastRenderedPageBreak/>
        <w:tab/>
        <w:t>(2)</w:t>
      </w:r>
      <w:r w:rsidRPr="00B41DFA">
        <w:rPr>
          <w:lang w:eastAsia="en-AU"/>
        </w:rPr>
        <w:tab/>
        <w:t>For subsection (1) (c) (i), the notice may include a recommendation that members vote in a particular way on the question.</w:t>
      </w:r>
    </w:p>
    <w:p w:rsidR="00FB1454" w:rsidRPr="00B41DFA" w:rsidRDefault="00FB1454" w:rsidP="00FB1454">
      <w:pPr>
        <w:pStyle w:val="Amain"/>
        <w:rPr>
          <w:lang w:eastAsia="en-AU"/>
        </w:rPr>
      </w:pPr>
      <w:r w:rsidRPr="00B41DFA">
        <w:rPr>
          <w:lang w:eastAsia="en-AU"/>
        </w:rPr>
        <w:tab/>
        <w:t>(3)</w:t>
      </w:r>
      <w:r w:rsidRPr="00B41DFA">
        <w:rPr>
          <w:lang w:eastAsia="en-AU"/>
        </w:rPr>
        <w:tab/>
        <w:t xml:space="preserve">A </w:t>
      </w:r>
      <w:r w:rsidRPr="00B41DFA">
        <w:t>document</w:t>
      </w:r>
      <w:r w:rsidRPr="00B41DFA">
        <w:rPr>
          <w:lang w:eastAsia="en-AU"/>
        </w:rPr>
        <w:t xml:space="preserve"> mentioned in subsection (1) (a), (b) (ii) or (c) may be sent to a member in electronic form.</w:t>
      </w:r>
    </w:p>
    <w:p w:rsidR="00FB1454" w:rsidRPr="00B41DFA" w:rsidRDefault="00FB1454" w:rsidP="00FB1454">
      <w:pPr>
        <w:pStyle w:val="aExamHdgss"/>
      </w:pPr>
      <w:r w:rsidRPr="00B41DFA">
        <w:t>Example—electronic form</w:t>
      </w:r>
    </w:p>
    <w:p w:rsidR="00FB1454" w:rsidRPr="00B41DFA" w:rsidRDefault="00FB1454" w:rsidP="00FB1454">
      <w:pPr>
        <w:pStyle w:val="aExamss"/>
        <w:keepNext/>
      </w:pPr>
      <w:r w:rsidRPr="00B41DFA">
        <w:t>attached to an email</w:t>
      </w:r>
    </w:p>
    <w:p w:rsidR="00FB1454" w:rsidRPr="00B41DFA" w:rsidRDefault="00FB1454" w:rsidP="00FB1454">
      <w:pPr>
        <w:pStyle w:val="aNote"/>
      </w:pPr>
      <w:r w:rsidRPr="00B41DFA">
        <w:rPr>
          <w:rStyle w:val="charItals"/>
        </w:rPr>
        <w:t>Note</w:t>
      </w:r>
      <w:r w:rsidRPr="00B41DFA">
        <w:tab/>
        <w:t xml:space="preserve">An example is part of the regulation, is not exhaustive and may extend, but does not limit, the meaning of the provision in which it appears (see </w:t>
      </w:r>
      <w:hyperlink r:id="rId49" w:tooltip="A2001-14" w:history="1">
        <w:r w:rsidRPr="00B41DFA">
          <w:rPr>
            <w:rStyle w:val="charCitHyperlinkAbbrev"/>
          </w:rPr>
          <w:t>Legislation Act</w:t>
        </w:r>
      </w:hyperlink>
      <w:r w:rsidRPr="00B41DFA">
        <w:t>, s 126 and s 132).</w:t>
      </w:r>
    </w:p>
    <w:p w:rsidR="00FB1454" w:rsidRPr="00B41DFA" w:rsidRDefault="00FB1454" w:rsidP="00FB1454">
      <w:pPr>
        <w:pStyle w:val="AH5Sec"/>
      </w:pPr>
      <w:bookmarkStart w:id="32" w:name="_Toc532221210"/>
      <w:r w:rsidRPr="00B043CD">
        <w:rPr>
          <w:rStyle w:val="CharSectNo"/>
        </w:rPr>
        <w:t>21</w:t>
      </w:r>
      <w:r w:rsidRPr="00B41DFA">
        <w:tab/>
        <w:t>Checking votes</w:t>
      </w:r>
      <w:bookmarkEnd w:id="32"/>
    </w:p>
    <w:p w:rsidR="00FB1454" w:rsidRPr="00B41DFA" w:rsidRDefault="00FB1454" w:rsidP="00FB1454">
      <w:pPr>
        <w:pStyle w:val="Amainreturn"/>
        <w:rPr>
          <w:lang w:eastAsia="en-AU"/>
        </w:rPr>
      </w:pPr>
      <w:r w:rsidRPr="00B41DFA">
        <w:t>The person conducting a ballot for a club must ensure that a voting member h</w:t>
      </w:r>
      <w:r w:rsidRPr="00B41DFA">
        <w:rPr>
          <w:lang w:eastAsia="en-AU"/>
        </w:rPr>
        <w:t>as not voted more than once.</w:t>
      </w:r>
    </w:p>
    <w:p w:rsidR="00FB1454" w:rsidRPr="00B41DFA" w:rsidRDefault="00FB1454" w:rsidP="00FB1454">
      <w:pPr>
        <w:pStyle w:val="aExamHdgss"/>
      </w:pPr>
      <w:r w:rsidRPr="00B41DFA">
        <w:t>Examples</w:t>
      </w:r>
    </w:p>
    <w:p w:rsidR="00FB1454" w:rsidRPr="00B41DFA" w:rsidRDefault="00FB1454" w:rsidP="00FB1454">
      <w:pPr>
        <w:pStyle w:val="aExamINumss"/>
      </w:pPr>
      <w:r w:rsidRPr="00B41DFA">
        <w:t>1</w:t>
      </w:r>
      <w:r w:rsidRPr="00B41DFA">
        <w:tab/>
        <w:t>checking each voting document returned by mail</w:t>
      </w:r>
    </w:p>
    <w:p w:rsidR="00FB1454" w:rsidRPr="00B41DFA" w:rsidRDefault="00FB1454" w:rsidP="00FB1454">
      <w:pPr>
        <w:pStyle w:val="aExamINumss"/>
        <w:keepNext/>
      </w:pPr>
      <w:r w:rsidRPr="00B41DFA">
        <w:t>2</w:t>
      </w:r>
      <w:r w:rsidRPr="00B41DFA">
        <w:tab/>
        <w:t>using a computer program designed to prevent a person from being able to vote more than once</w:t>
      </w:r>
    </w:p>
    <w:p w:rsidR="00FB1454" w:rsidRPr="00B41DFA" w:rsidRDefault="00FB1454" w:rsidP="00FB1454">
      <w:pPr>
        <w:pStyle w:val="aNote"/>
      </w:pPr>
      <w:r w:rsidRPr="00B41DFA">
        <w:rPr>
          <w:rStyle w:val="charItals"/>
        </w:rPr>
        <w:t>Note</w:t>
      </w:r>
      <w:r w:rsidRPr="00B41DFA">
        <w:tab/>
        <w:t xml:space="preserve">An example is part of the regulation, is not exhaustive and may extend, but does not limit, the meaning of the provision in which it appears (see </w:t>
      </w:r>
      <w:hyperlink r:id="rId50" w:tooltip="A2001-14" w:history="1">
        <w:r w:rsidRPr="00B41DFA">
          <w:rPr>
            <w:rStyle w:val="charCitHyperlinkAbbrev"/>
          </w:rPr>
          <w:t>Legislation Act</w:t>
        </w:r>
      </w:hyperlink>
      <w:r w:rsidRPr="00B41DFA">
        <w:t>, s 126 and s 132).</w:t>
      </w:r>
    </w:p>
    <w:p w:rsidR="00FB1454" w:rsidRPr="00B41DFA" w:rsidRDefault="00FB1454" w:rsidP="00FB1454">
      <w:pPr>
        <w:pStyle w:val="AH5Sec"/>
      </w:pPr>
      <w:bookmarkStart w:id="33" w:name="_Toc532221211"/>
      <w:r w:rsidRPr="00B043CD">
        <w:rPr>
          <w:rStyle w:val="CharSectNo"/>
        </w:rPr>
        <w:t>22</w:t>
      </w:r>
      <w:r w:rsidRPr="00B41DFA">
        <w:tab/>
        <w:t>Counting votes for ballot</w:t>
      </w:r>
      <w:bookmarkEnd w:id="33"/>
    </w:p>
    <w:p w:rsidR="00FB1454" w:rsidRPr="00B41DFA" w:rsidRDefault="00FB1454" w:rsidP="00FB1454">
      <w:pPr>
        <w:pStyle w:val="Amain"/>
      </w:pPr>
      <w:r w:rsidRPr="00B41DFA">
        <w:tab/>
        <w:t>(1)</w:t>
      </w:r>
      <w:r w:rsidRPr="00B41DFA">
        <w:tab/>
        <w:t>The result of a ballot for a club must be worked out by the person conducting the ballot.</w:t>
      </w:r>
    </w:p>
    <w:p w:rsidR="00FB1454" w:rsidRPr="00B41DFA" w:rsidRDefault="00FB1454" w:rsidP="00FB1454">
      <w:pPr>
        <w:pStyle w:val="Amain"/>
        <w:rPr>
          <w:lang w:eastAsia="en-AU"/>
        </w:rPr>
      </w:pPr>
      <w:r w:rsidRPr="00B41DFA">
        <w:tab/>
        <w:t>(2)</w:t>
      </w:r>
      <w:r w:rsidRPr="00B41DFA">
        <w:tab/>
      </w:r>
      <w:r w:rsidRPr="00B41DFA">
        <w:rPr>
          <w:lang w:eastAsia="en-AU"/>
        </w:rPr>
        <w:t>A vote must not be counted in the ballot if—</w:t>
      </w:r>
    </w:p>
    <w:p w:rsidR="00FB1454" w:rsidRPr="00B41DFA" w:rsidRDefault="00FB1454" w:rsidP="00FB1454">
      <w:pPr>
        <w:pStyle w:val="Apara"/>
        <w:rPr>
          <w:lang w:eastAsia="en-AU"/>
        </w:rPr>
      </w:pPr>
      <w:r w:rsidRPr="00B41DFA">
        <w:rPr>
          <w:lang w:eastAsia="en-AU"/>
        </w:rPr>
        <w:tab/>
        <w:t>(a)</w:t>
      </w:r>
      <w:r w:rsidRPr="00B41DFA">
        <w:rPr>
          <w:lang w:eastAsia="en-AU"/>
        </w:rPr>
        <w:tab/>
        <w:t xml:space="preserve">the </w:t>
      </w:r>
      <w:r w:rsidRPr="00B41DFA">
        <w:t>person conducting the ballot</w:t>
      </w:r>
      <w:r w:rsidRPr="00B41DFA">
        <w:rPr>
          <w:lang w:eastAsia="en-AU"/>
        </w:rPr>
        <w:t xml:space="preserve"> receives the vote after the voting close date; or</w:t>
      </w:r>
    </w:p>
    <w:p w:rsidR="00FB1454" w:rsidRPr="00B41DFA" w:rsidRDefault="00FB1454" w:rsidP="00FB1454">
      <w:pPr>
        <w:pStyle w:val="Apara"/>
      </w:pPr>
      <w:r w:rsidRPr="00B41DFA">
        <w:rPr>
          <w:lang w:eastAsia="en-AU"/>
        </w:rPr>
        <w:tab/>
        <w:t>(b)</w:t>
      </w:r>
      <w:r w:rsidRPr="00B41DFA">
        <w:rPr>
          <w:lang w:eastAsia="en-AU"/>
        </w:rPr>
        <w:tab/>
        <w:t>the member voting has already voted in the ballot.</w:t>
      </w:r>
    </w:p>
    <w:p w:rsidR="00FB1454" w:rsidRPr="00B41DFA" w:rsidRDefault="00FB1454" w:rsidP="00405D2A">
      <w:pPr>
        <w:pStyle w:val="Amain"/>
        <w:keepNext/>
      </w:pPr>
      <w:r w:rsidRPr="00B41DFA">
        <w:lastRenderedPageBreak/>
        <w:tab/>
        <w:t>(3)</w:t>
      </w:r>
      <w:r w:rsidRPr="00B41DFA">
        <w:tab/>
        <w:t>If the result of the ballot is worked out by an independent ballot service provider, the provider must give the club secretary written notice of the result of the ballot—</w:t>
      </w:r>
    </w:p>
    <w:p w:rsidR="00FB1454" w:rsidRPr="00B41DFA" w:rsidRDefault="00FB1454" w:rsidP="00FB1454">
      <w:pPr>
        <w:pStyle w:val="Apara"/>
      </w:pPr>
      <w:r w:rsidRPr="00B41DFA">
        <w:tab/>
        <w:t>(a)</w:t>
      </w:r>
      <w:r w:rsidRPr="00B41DFA">
        <w:tab/>
        <w:t>within 7 days after the voting close date for the ballot; or</w:t>
      </w:r>
    </w:p>
    <w:p w:rsidR="00FB1454" w:rsidRPr="00B41DFA" w:rsidRDefault="00FB1454" w:rsidP="00FB1454">
      <w:pPr>
        <w:pStyle w:val="Apara"/>
      </w:pPr>
      <w:r w:rsidRPr="00B41DFA">
        <w:tab/>
        <w:t>(b)</w:t>
      </w:r>
      <w:r w:rsidRPr="00B41DFA">
        <w:tab/>
        <w:t xml:space="preserve">if the provider and the secretary agree that the provider should give the secretary notice sooner than 7 days after the voting close date—by the agreed date. </w:t>
      </w:r>
    </w:p>
    <w:p w:rsidR="00FB1454" w:rsidRPr="00B41DFA" w:rsidRDefault="00FB1454" w:rsidP="00FB1454">
      <w:pPr>
        <w:pStyle w:val="Amain"/>
      </w:pPr>
      <w:r w:rsidRPr="00B41DFA">
        <w:tab/>
        <w:t>(4)</w:t>
      </w:r>
      <w:r w:rsidRPr="00B41DFA">
        <w:tab/>
        <w:t>As soon as practicable after working out the result of the ballot, or receiving written notice of the result, the club secretary must—</w:t>
      </w:r>
    </w:p>
    <w:p w:rsidR="00FB1454" w:rsidRPr="00B41DFA" w:rsidRDefault="00FB1454" w:rsidP="00FB1454">
      <w:pPr>
        <w:pStyle w:val="Apara"/>
        <w:rPr>
          <w:lang w:eastAsia="en-AU"/>
        </w:rPr>
      </w:pPr>
      <w:r w:rsidRPr="00B41DFA">
        <w:rPr>
          <w:lang w:eastAsia="en-AU"/>
        </w:rPr>
        <w:tab/>
        <w:t>(a)</w:t>
      </w:r>
      <w:r w:rsidRPr="00B41DFA">
        <w:rPr>
          <w:lang w:eastAsia="en-AU"/>
        </w:rPr>
        <w:tab/>
        <w:t>display the result—</w:t>
      </w:r>
    </w:p>
    <w:p w:rsidR="00FB1454" w:rsidRPr="00B41DFA" w:rsidRDefault="00FB1454" w:rsidP="00FB1454">
      <w:pPr>
        <w:pStyle w:val="Asubpara"/>
        <w:rPr>
          <w:lang w:eastAsia="en-AU"/>
        </w:rPr>
      </w:pPr>
      <w:r w:rsidRPr="00B41DFA">
        <w:rPr>
          <w:lang w:eastAsia="en-AU"/>
        </w:rPr>
        <w:tab/>
        <w:t>(i)</w:t>
      </w:r>
      <w:r w:rsidRPr="00B41DFA">
        <w:rPr>
          <w:lang w:eastAsia="en-AU"/>
        </w:rPr>
        <w:tab/>
        <w:t>at each premises to which the ballot relates; and</w:t>
      </w:r>
    </w:p>
    <w:p w:rsidR="00FB1454" w:rsidRPr="00B41DFA" w:rsidRDefault="00FB1454" w:rsidP="00FB1454">
      <w:pPr>
        <w:pStyle w:val="Asubpara"/>
        <w:rPr>
          <w:lang w:eastAsia="en-AU"/>
        </w:rPr>
      </w:pPr>
      <w:r w:rsidRPr="00B41DFA">
        <w:rPr>
          <w:lang w:eastAsia="en-AU"/>
        </w:rPr>
        <w:tab/>
        <w:t>(ii)</w:t>
      </w:r>
      <w:r w:rsidRPr="00B41DFA">
        <w:rPr>
          <w:lang w:eastAsia="en-AU"/>
        </w:rPr>
        <w:tab/>
        <w:t>on the club’s website; and</w:t>
      </w:r>
    </w:p>
    <w:p w:rsidR="00FB1454" w:rsidRPr="00B41DFA" w:rsidRDefault="00FB1454" w:rsidP="00FB1454">
      <w:pPr>
        <w:pStyle w:val="Apara"/>
        <w:rPr>
          <w:lang w:eastAsia="en-AU"/>
        </w:rPr>
      </w:pPr>
      <w:r w:rsidRPr="00B41DFA">
        <w:rPr>
          <w:lang w:eastAsia="en-AU"/>
        </w:rPr>
        <w:tab/>
        <w:t>(b)</w:t>
      </w:r>
      <w:r w:rsidRPr="00B41DFA">
        <w:rPr>
          <w:lang w:eastAsia="en-AU"/>
        </w:rPr>
        <w:tab/>
        <w:t>give the commission written notice of the result.</w:t>
      </w:r>
    </w:p>
    <w:p w:rsidR="00FB1454" w:rsidRPr="00B41DFA" w:rsidRDefault="00FB1454" w:rsidP="00FB1454">
      <w:pPr>
        <w:pStyle w:val="AH5Sec"/>
      </w:pPr>
      <w:bookmarkStart w:id="34" w:name="_Toc532221212"/>
      <w:r w:rsidRPr="00B043CD">
        <w:rPr>
          <w:rStyle w:val="CharSectNo"/>
        </w:rPr>
        <w:t>22A</w:t>
      </w:r>
      <w:r w:rsidRPr="00B41DFA">
        <w:tab/>
        <w:t>Alternative person</w:t>
      </w:r>
      <w:bookmarkEnd w:id="34"/>
    </w:p>
    <w:p w:rsidR="00FB1454" w:rsidRPr="00B41DFA" w:rsidRDefault="00FB1454" w:rsidP="00FB1454">
      <w:pPr>
        <w:pStyle w:val="Amain"/>
      </w:pPr>
      <w:r w:rsidRPr="00B41DFA">
        <w:tab/>
        <w:t>(1)</w:t>
      </w:r>
      <w:r w:rsidRPr="00B41DFA">
        <w:tab/>
        <w:t>This section applies if the person conducting a ballot for a club is the club secretary.</w:t>
      </w:r>
    </w:p>
    <w:p w:rsidR="00FB1454" w:rsidRPr="00B41DFA" w:rsidRDefault="00FB1454" w:rsidP="00FB1454">
      <w:pPr>
        <w:pStyle w:val="Amain"/>
      </w:pPr>
      <w:r w:rsidRPr="00B41DFA">
        <w:tab/>
        <w:t>(2)</w:t>
      </w:r>
      <w:r w:rsidRPr="00B41DFA">
        <w:tab/>
        <w:t>The club secretary—</w:t>
      </w:r>
    </w:p>
    <w:p w:rsidR="00FB1454" w:rsidRPr="00B41DFA" w:rsidRDefault="00FB1454" w:rsidP="00FB1454">
      <w:pPr>
        <w:pStyle w:val="Apara"/>
      </w:pPr>
      <w:r w:rsidRPr="00B41DFA">
        <w:tab/>
        <w:t>(a)</w:t>
      </w:r>
      <w:r w:rsidRPr="00B41DFA">
        <w:tab/>
        <w:t>may decide that a person other than the secretary (the </w:t>
      </w:r>
      <w:r w:rsidRPr="00B41DFA">
        <w:rPr>
          <w:rStyle w:val="charBoldItals"/>
        </w:rPr>
        <w:t>alternative person</w:t>
      </w:r>
      <w:r w:rsidRPr="00B41DFA">
        <w:t>) may exercise a function under section 21 or section 22 for the club; and</w:t>
      </w:r>
    </w:p>
    <w:p w:rsidR="00FB1454" w:rsidRPr="00B41DFA" w:rsidRDefault="00FB1454" w:rsidP="00FB1454">
      <w:pPr>
        <w:pStyle w:val="Apara"/>
      </w:pPr>
      <w:r w:rsidRPr="00B41DFA">
        <w:tab/>
        <w:t>(b)</w:t>
      </w:r>
      <w:r w:rsidRPr="00B41DFA">
        <w:tab/>
        <w:t>if the secretary decides that an alternative person may exercise a function under section 21 or section 22—must tell the commission, in writing, that the alternative person will be exercising the function for the club.</w:t>
      </w:r>
    </w:p>
    <w:p w:rsidR="00FB1454" w:rsidRPr="00B41DFA" w:rsidRDefault="00FB1454" w:rsidP="00FB1454">
      <w:pPr>
        <w:pStyle w:val="Amain"/>
      </w:pPr>
      <w:r w:rsidRPr="00B41DFA">
        <w:tab/>
        <w:t>(3)</w:t>
      </w:r>
      <w:r w:rsidRPr="00B41DFA">
        <w:tab/>
        <w:t>If the alternative person exercises a function under section 21 or section 22 for a club, the club secretary must ensure the alternative person exercises the function in accordance with the relevant section.</w:t>
      </w:r>
    </w:p>
    <w:p w:rsidR="003D4D62" w:rsidRPr="00FE434D" w:rsidRDefault="003D4D62" w:rsidP="003D4D62">
      <w:pPr>
        <w:pStyle w:val="AH5Sec"/>
      </w:pPr>
      <w:bookmarkStart w:id="35" w:name="_Toc532221213"/>
      <w:r w:rsidRPr="00B043CD">
        <w:rPr>
          <w:rStyle w:val="CharSectNo"/>
        </w:rPr>
        <w:lastRenderedPageBreak/>
        <w:t>22B</w:t>
      </w:r>
      <w:r w:rsidRPr="00FE434D">
        <w:tab/>
        <w:t>Supervisory role of commission</w:t>
      </w:r>
      <w:bookmarkEnd w:id="35"/>
    </w:p>
    <w:p w:rsidR="003D4D62" w:rsidRPr="00FE434D" w:rsidRDefault="003D4D62" w:rsidP="003D4D62">
      <w:pPr>
        <w:pStyle w:val="Amain"/>
      </w:pPr>
      <w:r w:rsidRPr="00FE434D">
        <w:tab/>
        <w:t>(1)</w:t>
      </w:r>
      <w:r w:rsidRPr="00FE434D">
        <w:tab/>
        <w:t>The commission may attend when functions are exercised under section 21 or section 22 or may check that the functions have been properly exercised.</w:t>
      </w:r>
    </w:p>
    <w:p w:rsidR="003D4D62" w:rsidRDefault="003D4D62" w:rsidP="003D4D62">
      <w:pPr>
        <w:pStyle w:val="Amain"/>
      </w:pPr>
      <w:r w:rsidRPr="00FE434D">
        <w:tab/>
        <w:t>(2)</w:t>
      </w:r>
      <w:r w:rsidRPr="00FE434D">
        <w:tab/>
        <w:t>If the commission considers that a function has not been properly exercised, the commission may direct that the function be properly exercised.</w:t>
      </w:r>
    </w:p>
    <w:p w:rsidR="00220CF8" w:rsidRPr="00B41DFA" w:rsidRDefault="00220CF8" w:rsidP="00220CF8">
      <w:pPr>
        <w:pStyle w:val="AH5Sec"/>
      </w:pPr>
      <w:bookmarkStart w:id="36" w:name="_Toc532221214"/>
      <w:r w:rsidRPr="00B043CD">
        <w:rPr>
          <w:rStyle w:val="CharSectNo"/>
        </w:rPr>
        <w:t>22C</w:t>
      </w:r>
      <w:r w:rsidRPr="00B41DFA">
        <w:tab/>
        <w:t>Supervisory role of club secretary</w:t>
      </w:r>
      <w:bookmarkEnd w:id="36"/>
    </w:p>
    <w:p w:rsidR="00220CF8" w:rsidRPr="00B41DFA" w:rsidRDefault="00220CF8" w:rsidP="00220CF8">
      <w:pPr>
        <w:pStyle w:val="Amain"/>
      </w:pPr>
      <w:r w:rsidRPr="00B41DFA">
        <w:tab/>
        <w:t>(1)</w:t>
      </w:r>
      <w:r w:rsidRPr="00B41DFA">
        <w:tab/>
        <w:t>This section applies if the person conducting a ballot for a club is an independent ballot service provider.</w:t>
      </w:r>
    </w:p>
    <w:p w:rsidR="00220CF8" w:rsidRPr="00B41DFA" w:rsidRDefault="00220CF8" w:rsidP="00220CF8">
      <w:pPr>
        <w:pStyle w:val="Amain"/>
      </w:pPr>
      <w:r w:rsidRPr="00B41DFA">
        <w:tab/>
        <w:t>(2)</w:t>
      </w:r>
      <w:r w:rsidRPr="00B41DFA">
        <w:tab/>
        <w:t>The club secretary must ensure that the ballot is conducted in accordance with this part.</w:t>
      </w:r>
    </w:p>
    <w:p w:rsidR="00220CF8" w:rsidRPr="00B41DFA" w:rsidRDefault="00220CF8" w:rsidP="00220CF8">
      <w:pPr>
        <w:pStyle w:val="Amain"/>
      </w:pPr>
      <w:r w:rsidRPr="00B41DFA">
        <w:tab/>
        <w:t>(3)</w:t>
      </w:r>
      <w:r w:rsidRPr="00B41DFA">
        <w:tab/>
        <w:t>If the club secretary is not satisfied that the ballot is conducted in accordance with this part, the secretary must tell the commission.</w:t>
      </w:r>
    </w:p>
    <w:p w:rsidR="00220CF8" w:rsidRPr="00B41DFA" w:rsidRDefault="00220CF8" w:rsidP="00220CF8">
      <w:pPr>
        <w:pStyle w:val="Amain"/>
      </w:pPr>
      <w:r w:rsidRPr="00B41DFA">
        <w:tab/>
        <w:t>(4)</w:t>
      </w:r>
      <w:r w:rsidRPr="00B41DFA">
        <w:tab/>
        <w:t>If the commission is not satisfied that the ballot is conducted in accordance with this part, the commission may direct that the ballot be conducted in accordance with this part.</w:t>
      </w:r>
    </w:p>
    <w:p w:rsidR="00220CF8" w:rsidRPr="00B41DFA" w:rsidRDefault="00220CF8" w:rsidP="00220CF8">
      <w:pPr>
        <w:pStyle w:val="AH5Sec"/>
      </w:pPr>
      <w:bookmarkStart w:id="37" w:name="_Toc532221215"/>
      <w:r w:rsidRPr="00B043CD">
        <w:rPr>
          <w:rStyle w:val="CharSectNo"/>
        </w:rPr>
        <w:t>23</w:t>
      </w:r>
      <w:r w:rsidRPr="00B41DFA">
        <w:tab/>
        <w:t>Keeping completed ballot documents</w:t>
      </w:r>
      <w:bookmarkEnd w:id="37"/>
    </w:p>
    <w:p w:rsidR="00220CF8" w:rsidRPr="00B41DFA" w:rsidRDefault="00220CF8" w:rsidP="00220CF8">
      <w:pPr>
        <w:pStyle w:val="Amain"/>
        <w:keepNext/>
      </w:pPr>
      <w:r w:rsidRPr="00B41DFA">
        <w:tab/>
        <w:t>(1)</w:t>
      </w:r>
      <w:r w:rsidRPr="00B41DFA">
        <w:tab/>
        <w:t>This section applies if a ballot is held by a club.</w:t>
      </w:r>
    </w:p>
    <w:p w:rsidR="00220CF8" w:rsidRPr="00B41DFA" w:rsidRDefault="00220CF8" w:rsidP="00220CF8">
      <w:pPr>
        <w:pStyle w:val="Amain"/>
      </w:pPr>
      <w:r w:rsidRPr="00B41DFA">
        <w:tab/>
        <w:t>(2)</w:t>
      </w:r>
      <w:r w:rsidRPr="00B41DFA">
        <w:tab/>
        <w:t xml:space="preserve">The club secretary must keep the following for at least 12 months after the day the secretary </w:t>
      </w:r>
      <w:r w:rsidRPr="00B41DFA">
        <w:rPr>
          <w:lang w:eastAsia="en-AU"/>
        </w:rPr>
        <w:t xml:space="preserve">gives the commission written </w:t>
      </w:r>
      <w:r w:rsidRPr="00B41DFA">
        <w:t>notice of the result of the ballot:</w:t>
      </w:r>
    </w:p>
    <w:p w:rsidR="00220CF8" w:rsidRPr="00B41DFA" w:rsidRDefault="00220CF8" w:rsidP="00220CF8">
      <w:pPr>
        <w:pStyle w:val="Apara"/>
      </w:pPr>
      <w:r w:rsidRPr="00B41DFA">
        <w:tab/>
        <w:t>(a)</w:t>
      </w:r>
      <w:r w:rsidRPr="00B41DFA">
        <w:tab/>
        <w:t>if the ballot was not conducted electronically—the voting documents, completed by members and returned to the person conducting the ballot, whether or not the person counted the votes in the ballot;</w:t>
      </w:r>
    </w:p>
    <w:p w:rsidR="00220CF8" w:rsidRPr="00B41DFA" w:rsidRDefault="00220CF8" w:rsidP="00220CF8">
      <w:pPr>
        <w:pStyle w:val="Apara"/>
      </w:pPr>
      <w:r w:rsidRPr="00B41DFA">
        <w:tab/>
        <w:t>(b)</w:t>
      </w:r>
      <w:r w:rsidRPr="00B41DFA">
        <w:tab/>
        <w:t>if the ballot was conducted electronically—information about how the result of the ballot was worked out;</w:t>
      </w:r>
    </w:p>
    <w:p w:rsidR="00220CF8" w:rsidRPr="00B41DFA" w:rsidRDefault="00220CF8" w:rsidP="00220CF8">
      <w:pPr>
        <w:pStyle w:val="Apara"/>
        <w:keepNext/>
      </w:pPr>
      <w:r w:rsidRPr="00B41DFA">
        <w:lastRenderedPageBreak/>
        <w:tab/>
        <w:t>(c)</w:t>
      </w:r>
      <w:r w:rsidRPr="00B41DFA">
        <w:tab/>
        <w:t>a list stating the name of each voting member who was given a voting document.</w:t>
      </w:r>
    </w:p>
    <w:p w:rsidR="00220CF8" w:rsidRPr="00B41DFA" w:rsidRDefault="00220CF8" w:rsidP="00220CF8">
      <w:pPr>
        <w:pStyle w:val="aNote"/>
        <w:keepNext/>
      </w:pPr>
      <w:r w:rsidRPr="00B41DFA">
        <w:rPr>
          <w:rStyle w:val="charItals"/>
        </w:rPr>
        <w:t>Note 1</w:t>
      </w:r>
      <w:r w:rsidRPr="00B41DFA">
        <w:rPr>
          <w:rStyle w:val="charItals"/>
        </w:rPr>
        <w:tab/>
      </w:r>
      <w:r w:rsidRPr="00B41DFA">
        <w:t>For par (a), voting documents are given to voting members under s 20 (1) (a).</w:t>
      </w:r>
    </w:p>
    <w:p w:rsidR="00220CF8" w:rsidRPr="00B41DFA" w:rsidRDefault="00220CF8" w:rsidP="00220CF8">
      <w:pPr>
        <w:pStyle w:val="aNote"/>
        <w:rPr>
          <w:lang w:eastAsia="en-AU"/>
        </w:rPr>
      </w:pPr>
      <w:r w:rsidRPr="00B41DFA">
        <w:rPr>
          <w:rStyle w:val="charItals"/>
        </w:rPr>
        <w:t>Note 2</w:t>
      </w:r>
      <w:r w:rsidRPr="00B41DFA">
        <w:rPr>
          <w:rStyle w:val="charItals"/>
        </w:rPr>
        <w:tab/>
      </w:r>
      <w:r w:rsidRPr="00B41DFA">
        <w:rPr>
          <w:lang w:eastAsia="en-AU"/>
        </w:rPr>
        <w:t xml:space="preserve">Under the </w:t>
      </w:r>
      <w:hyperlink r:id="rId51" w:tooltip="A2001-10" w:history="1">
        <w:r w:rsidRPr="00B41DFA">
          <w:rPr>
            <w:rStyle w:val="charCitHyperlinkItal"/>
          </w:rPr>
          <w:t>Electronic Transactions Act 2001</w:t>
        </w:r>
      </w:hyperlink>
      <w:r w:rsidRPr="00B41DFA">
        <w:rPr>
          <w:lang w:eastAsia="en-AU"/>
        </w:rPr>
        <w:t>, s 11 (Retention of information and documents), if a person is required to retain a document for a particular period, the requirement is taken to be met if the person retains an electronic form of the document.</w:t>
      </w:r>
    </w:p>
    <w:p w:rsidR="00220CF8" w:rsidRPr="00B41DFA" w:rsidRDefault="00220CF8" w:rsidP="00220CF8">
      <w:pPr>
        <w:pStyle w:val="Amain"/>
      </w:pPr>
      <w:r w:rsidRPr="00B41DFA">
        <w:tab/>
        <w:t>(3)</w:t>
      </w:r>
      <w:r w:rsidRPr="00B41DFA">
        <w:tab/>
        <w:t>If the ballot is conducted by an independent ballot service provider, the provider must give the documents mentioned in subsection (2) to the club secretary—</w:t>
      </w:r>
    </w:p>
    <w:p w:rsidR="00220CF8" w:rsidRPr="00B41DFA" w:rsidRDefault="00220CF8" w:rsidP="00220CF8">
      <w:pPr>
        <w:pStyle w:val="Apara"/>
      </w:pPr>
      <w:r w:rsidRPr="00B41DFA">
        <w:tab/>
        <w:t>(a)</w:t>
      </w:r>
      <w:r w:rsidRPr="00B41DFA">
        <w:tab/>
        <w:t>within 7 days after the voting close date for the ballot; or</w:t>
      </w:r>
    </w:p>
    <w:p w:rsidR="00220CF8" w:rsidRPr="00B41DFA" w:rsidRDefault="00220CF8" w:rsidP="00220CF8">
      <w:pPr>
        <w:pStyle w:val="Apara"/>
      </w:pPr>
      <w:r w:rsidRPr="00B41DFA">
        <w:tab/>
        <w:t>(b)</w:t>
      </w:r>
      <w:r w:rsidRPr="00B41DFA">
        <w:tab/>
        <w:t>if the provider and the secretary agree that the provider should give the secretary the documents sooner than 7 days after the voting close date—by the agreed date.</w:t>
      </w:r>
    </w:p>
    <w:p w:rsidR="009720B3" w:rsidRDefault="009720B3">
      <w:pPr>
        <w:pStyle w:val="PageBreak"/>
      </w:pPr>
      <w:r>
        <w:br w:type="page"/>
      </w:r>
    </w:p>
    <w:p w:rsidR="009720B3" w:rsidRPr="00B043CD" w:rsidRDefault="009720B3">
      <w:pPr>
        <w:pStyle w:val="AH2Part"/>
      </w:pPr>
      <w:bookmarkStart w:id="38" w:name="_Toc532221216"/>
      <w:r w:rsidRPr="00B043CD">
        <w:rPr>
          <w:rStyle w:val="CharPartNo"/>
        </w:rPr>
        <w:lastRenderedPageBreak/>
        <w:t>Part 5</w:t>
      </w:r>
      <w:r>
        <w:tab/>
      </w:r>
      <w:r w:rsidRPr="00B043CD">
        <w:rPr>
          <w:rStyle w:val="CharPartText"/>
        </w:rPr>
        <w:t>Centralised monitoring system</w:t>
      </w:r>
      <w:bookmarkEnd w:id="38"/>
    </w:p>
    <w:p w:rsidR="009720B3" w:rsidRDefault="009720B3">
      <w:pPr>
        <w:pStyle w:val="AH5Sec"/>
      </w:pPr>
      <w:bookmarkStart w:id="39" w:name="_Toc532221217"/>
      <w:r w:rsidRPr="00B043CD">
        <w:rPr>
          <w:rStyle w:val="CharSectNo"/>
        </w:rPr>
        <w:t>24</w:t>
      </w:r>
      <w:r>
        <w:tab/>
        <w:t>Approval of CMS—Act, s 67 (1)</w:t>
      </w:r>
      <w:bookmarkEnd w:id="39"/>
    </w:p>
    <w:p w:rsidR="009720B3" w:rsidRDefault="009720B3">
      <w:pPr>
        <w:pStyle w:val="Amain"/>
      </w:pPr>
      <w:r>
        <w:tab/>
        <w:t>(1)</w:t>
      </w:r>
      <w:r>
        <w:tab/>
        <w:t>The commission must not approve a CMS unless—</w:t>
      </w:r>
    </w:p>
    <w:p w:rsidR="009720B3" w:rsidRDefault="009720B3">
      <w:pPr>
        <w:pStyle w:val="Apara"/>
      </w:pPr>
      <w:r>
        <w:tab/>
        <w:t>(a)</w:t>
      </w:r>
      <w:r>
        <w:tab/>
        <w:t>the commission has considered the results of a technical evaluation of the system by an approved entity; and</w:t>
      </w:r>
    </w:p>
    <w:p w:rsidR="009720B3" w:rsidRDefault="009720B3">
      <w:pPr>
        <w:pStyle w:val="Apara"/>
      </w:pPr>
      <w:r>
        <w:tab/>
        <w:t>(b)</w:t>
      </w:r>
      <w:r>
        <w:tab/>
        <w:t>the system (as approved) does not include the gaming machines connected to it.</w:t>
      </w:r>
    </w:p>
    <w:p w:rsidR="009720B3" w:rsidRDefault="004451D0">
      <w:pPr>
        <w:pStyle w:val="aExamHdgss"/>
      </w:pPr>
      <w:r>
        <w:t>Example—</w:t>
      </w:r>
      <w:r w:rsidR="009720B3">
        <w:t>system</w:t>
      </w:r>
    </w:p>
    <w:p w:rsidR="009720B3" w:rsidRDefault="004451D0">
      <w:pPr>
        <w:pStyle w:val="aExamss"/>
        <w:keepNext/>
      </w:pPr>
      <w:r>
        <w:t>t</w:t>
      </w:r>
      <w:r w:rsidR="009720B3">
        <w:t>he system may include the ‘black box’ relay stati</w:t>
      </w:r>
      <w:r>
        <w:t>on connected to gaming machines</w:t>
      </w:r>
    </w:p>
    <w:p w:rsidR="009720B3" w:rsidRDefault="009720B3">
      <w:pPr>
        <w:pStyle w:val="aNote"/>
      </w:pPr>
      <w:r>
        <w:rPr>
          <w:rStyle w:val="charItals"/>
        </w:rPr>
        <w:t>Note</w:t>
      </w:r>
      <w:r>
        <w:tab/>
        <w:t xml:space="preserve">An example is part of the regulation, is not exhaustive and may extend, but does not limit, the meaning of the provision in which it appears (see </w:t>
      </w:r>
      <w:hyperlink r:id="rId52" w:tooltip="A2001-14" w:history="1">
        <w:r w:rsidR="000812EE" w:rsidRPr="000812EE">
          <w:rPr>
            <w:rStyle w:val="charCitHyperlinkAbbrev"/>
          </w:rPr>
          <w:t>Legislation Act</w:t>
        </w:r>
      </w:hyperlink>
      <w:r>
        <w:t>, s 126 and s 132).</w:t>
      </w:r>
    </w:p>
    <w:p w:rsidR="009720B3" w:rsidRDefault="009720B3">
      <w:pPr>
        <w:pStyle w:val="Amain"/>
        <w:keepNext/>
      </w:pPr>
      <w:r>
        <w:tab/>
        <w:t>(2)</w:t>
      </w:r>
      <w:r>
        <w:tab/>
        <w:t>In this section:</w:t>
      </w:r>
    </w:p>
    <w:p w:rsidR="009720B3" w:rsidRDefault="009720B3">
      <w:pPr>
        <w:pStyle w:val="Amainreturn"/>
      </w:pPr>
      <w:r>
        <w:rPr>
          <w:rStyle w:val="charBoldItals"/>
        </w:rPr>
        <w:t>approved entity</w:t>
      </w:r>
      <w:r>
        <w:t xml:space="preserve">—see the </w:t>
      </w:r>
      <w:hyperlink r:id="rId53" w:tooltip="A2004-34" w:history="1">
        <w:r w:rsidR="00DE34F5" w:rsidRPr="00EB6445">
          <w:rPr>
            <w:rStyle w:val="charCitHyperlinkAbbrev"/>
          </w:rPr>
          <w:t>Act</w:t>
        </w:r>
      </w:hyperlink>
      <w:r>
        <w:t>, section 69 (4).</w:t>
      </w:r>
    </w:p>
    <w:p w:rsidR="009720B3" w:rsidRDefault="009720B3">
      <w:pPr>
        <w:pStyle w:val="AH5Sec"/>
      </w:pPr>
      <w:bookmarkStart w:id="40" w:name="_Toc532221218"/>
      <w:r w:rsidRPr="00B043CD">
        <w:rPr>
          <w:rStyle w:val="CharSectNo"/>
        </w:rPr>
        <w:t>25</w:t>
      </w:r>
      <w:r>
        <w:tab/>
        <w:t>Gaming machines to be on CMS</w:t>
      </w:r>
      <w:bookmarkEnd w:id="40"/>
    </w:p>
    <w:p w:rsidR="009720B3" w:rsidRDefault="009720B3">
      <w:pPr>
        <w:pStyle w:val="Amain"/>
      </w:pPr>
      <w:r>
        <w:tab/>
        <w:t>(1)</w:t>
      </w:r>
      <w:r>
        <w:tab/>
        <w:t>A licensee commits an offence if—</w:t>
      </w:r>
    </w:p>
    <w:p w:rsidR="009720B3" w:rsidRDefault="009720B3">
      <w:pPr>
        <w:pStyle w:val="Apara"/>
      </w:pPr>
      <w:r>
        <w:tab/>
        <w:t>(a)</w:t>
      </w:r>
      <w:r>
        <w:tab/>
        <w:t>the licensee operates a gaming machine; and</w:t>
      </w:r>
    </w:p>
    <w:p w:rsidR="009720B3" w:rsidRDefault="009720B3">
      <w:pPr>
        <w:pStyle w:val="Apara"/>
      </w:pPr>
      <w:r>
        <w:tab/>
        <w:t>(b)</w:t>
      </w:r>
      <w:r>
        <w:tab/>
      </w:r>
      <w:r w:rsidR="000641F0" w:rsidRPr="00AE589E">
        <w:rPr>
          <w:szCs w:val="24"/>
        </w:rPr>
        <w:t>the gaming machine</w:t>
      </w:r>
      <w:r>
        <w:t xml:space="preserve"> is required to be connected to the CMS; and</w:t>
      </w:r>
    </w:p>
    <w:p w:rsidR="009720B3" w:rsidRDefault="009720B3">
      <w:pPr>
        <w:pStyle w:val="Apara"/>
      </w:pPr>
      <w:r>
        <w:tab/>
        <w:t>(c)</w:t>
      </w:r>
      <w:r>
        <w:tab/>
      </w:r>
      <w:r w:rsidR="000641F0" w:rsidRPr="00AE589E">
        <w:rPr>
          <w:szCs w:val="24"/>
        </w:rPr>
        <w:t>the gaming machine</w:t>
      </w:r>
      <w:r>
        <w:t xml:space="preserve"> is not connected to the CMS.</w:t>
      </w:r>
    </w:p>
    <w:p w:rsidR="009720B3" w:rsidRDefault="009720B3">
      <w:pPr>
        <w:pStyle w:val="Penalty"/>
      </w:pPr>
      <w:r>
        <w:t>Maximum penalty: 5 penalty units.</w:t>
      </w:r>
    </w:p>
    <w:p w:rsidR="009720B3" w:rsidRDefault="009720B3">
      <w:pPr>
        <w:pStyle w:val="Amain"/>
      </w:pPr>
      <w:r>
        <w:tab/>
        <w:t>(2)</w:t>
      </w:r>
      <w:r>
        <w:tab/>
        <w:t xml:space="preserve">For subsection (1) (b), a gaming machine is </w:t>
      </w:r>
      <w:r>
        <w:rPr>
          <w:rStyle w:val="charBoldItals"/>
        </w:rPr>
        <w:t xml:space="preserve">required to be connected </w:t>
      </w:r>
      <w:r>
        <w:t>to the CMS if connection is required—</w:t>
      </w:r>
    </w:p>
    <w:p w:rsidR="009720B3" w:rsidRDefault="009720B3">
      <w:pPr>
        <w:pStyle w:val="Apara"/>
      </w:pPr>
      <w:r>
        <w:tab/>
        <w:t>(a)</w:t>
      </w:r>
      <w:r>
        <w:tab/>
        <w:t>under this regulation; or</w:t>
      </w:r>
    </w:p>
    <w:p w:rsidR="009720B3" w:rsidRDefault="009720B3">
      <w:pPr>
        <w:pStyle w:val="Apara"/>
      </w:pPr>
      <w:r>
        <w:tab/>
        <w:t>(b)</w:t>
      </w:r>
      <w:r>
        <w:tab/>
        <w:t xml:space="preserve">under the licence for </w:t>
      </w:r>
      <w:r w:rsidR="000641F0" w:rsidRPr="00AE589E">
        <w:rPr>
          <w:szCs w:val="24"/>
        </w:rPr>
        <w:t>the gaming machine</w:t>
      </w:r>
      <w:r>
        <w:t>.</w:t>
      </w:r>
    </w:p>
    <w:p w:rsidR="009720B3" w:rsidRDefault="009720B3">
      <w:pPr>
        <w:pStyle w:val="Amain"/>
      </w:pPr>
      <w:r>
        <w:tab/>
        <w:t>(3)</w:t>
      </w:r>
      <w:r>
        <w:tab/>
        <w:t>An offence against this section is a strict liability offence.</w:t>
      </w:r>
    </w:p>
    <w:p w:rsidR="009720B3" w:rsidRDefault="009720B3">
      <w:pPr>
        <w:pStyle w:val="AH5Sec"/>
      </w:pPr>
      <w:bookmarkStart w:id="41" w:name="_Toc532221219"/>
      <w:r w:rsidRPr="00B043CD">
        <w:rPr>
          <w:rStyle w:val="CharSectNo"/>
        </w:rPr>
        <w:lastRenderedPageBreak/>
        <w:t>26</w:t>
      </w:r>
      <w:r>
        <w:tab/>
        <w:t>CMS Access</w:t>
      </w:r>
      <w:bookmarkEnd w:id="41"/>
    </w:p>
    <w:p w:rsidR="009720B3" w:rsidRDefault="009720B3">
      <w:pPr>
        <w:pStyle w:val="Amain"/>
        <w:keepNext/>
      </w:pPr>
      <w:r>
        <w:tab/>
        <w:t>(1)</w:t>
      </w:r>
      <w:r>
        <w:tab/>
        <w:t xml:space="preserve">A person commits an offence if the person does any of the following in relation to the CMS on </w:t>
      </w:r>
      <w:r w:rsidR="00F860E4" w:rsidRPr="00AE589E">
        <w:rPr>
          <w:szCs w:val="24"/>
        </w:rPr>
        <w:t>authorised</w:t>
      </w:r>
      <w:r w:rsidR="00F860E4">
        <w:rPr>
          <w:szCs w:val="24"/>
        </w:rPr>
        <w:t xml:space="preserve"> </w:t>
      </w:r>
      <w:r>
        <w:t>premises:</w:t>
      </w:r>
    </w:p>
    <w:p w:rsidR="009720B3" w:rsidRDefault="009720B3">
      <w:pPr>
        <w:pStyle w:val="Apara"/>
      </w:pPr>
      <w:r>
        <w:tab/>
        <w:t>(a)</w:t>
      </w:r>
      <w:r>
        <w:tab/>
        <w:t>opens the CMS;</w:t>
      </w:r>
    </w:p>
    <w:p w:rsidR="009720B3" w:rsidRDefault="009720B3">
      <w:pPr>
        <w:pStyle w:val="Apara"/>
      </w:pPr>
      <w:r>
        <w:tab/>
        <w:t>(b)</w:t>
      </w:r>
      <w:r>
        <w:tab/>
        <w:t>repairs the CMS;</w:t>
      </w:r>
    </w:p>
    <w:p w:rsidR="009720B3" w:rsidRDefault="009720B3">
      <w:pPr>
        <w:pStyle w:val="Apara"/>
      </w:pPr>
      <w:r>
        <w:tab/>
        <w:t>(c)</w:t>
      </w:r>
      <w:r>
        <w:tab/>
        <w:t>adjusts the CMS;</w:t>
      </w:r>
    </w:p>
    <w:p w:rsidR="009720B3" w:rsidRDefault="009720B3">
      <w:pPr>
        <w:pStyle w:val="Apara"/>
      </w:pPr>
      <w:r>
        <w:tab/>
        <w:t>(d)</w:t>
      </w:r>
      <w:r>
        <w:tab/>
        <w:t>modifies the CMS.</w:t>
      </w:r>
    </w:p>
    <w:p w:rsidR="009720B3" w:rsidRDefault="009720B3">
      <w:pPr>
        <w:pStyle w:val="Penalty"/>
      </w:pPr>
      <w:r>
        <w:t>Maximum penalty:  10 penalty units.</w:t>
      </w:r>
    </w:p>
    <w:p w:rsidR="009720B3" w:rsidRDefault="009720B3">
      <w:pPr>
        <w:pStyle w:val="aNote"/>
      </w:pPr>
      <w:r>
        <w:rPr>
          <w:rStyle w:val="charItals"/>
        </w:rPr>
        <w:t>Note</w:t>
      </w:r>
      <w:r>
        <w:rPr>
          <w:rStyle w:val="charItals"/>
        </w:rPr>
        <w:tab/>
      </w:r>
      <w:r>
        <w:t>The CMS does not include a gaming machine connected to it (see s 24 (1) (b)).</w:t>
      </w:r>
    </w:p>
    <w:p w:rsidR="009720B3" w:rsidRDefault="009720B3">
      <w:pPr>
        <w:pStyle w:val="Amain"/>
        <w:keepNext/>
      </w:pPr>
      <w:r>
        <w:tab/>
        <w:t>(2)</w:t>
      </w:r>
      <w:r>
        <w:tab/>
        <w:t>Subsection (1) does not apply to the following people:</w:t>
      </w:r>
    </w:p>
    <w:p w:rsidR="009720B3" w:rsidRDefault="009720B3">
      <w:pPr>
        <w:pStyle w:val="Apara"/>
      </w:pPr>
      <w:r>
        <w:tab/>
        <w:t>(a)</w:t>
      </w:r>
      <w:r>
        <w:tab/>
        <w:t>an approved supplier;</w:t>
      </w:r>
    </w:p>
    <w:p w:rsidR="009720B3" w:rsidRDefault="009720B3">
      <w:pPr>
        <w:pStyle w:val="Apara"/>
      </w:pPr>
      <w:r>
        <w:tab/>
        <w:t>(b)</w:t>
      </w:r>
      <w:r>
        <w:tab/>
        <w:t>an approved technician;</w:t>
      </w:r>
    </w:p>
    <w:p w:rsidR="009720B3" w:rsidRDefault="009720B3">
      <w:pPr>
        <w:pStyle w:val="Apara"/>
      </w:pPr>
      <w:r>
        <w:tab/>
        <w:t>(c)</w:t>
      </w:r>
      <w:r>
        <w:tab/>
        <w:t>someone authorised in writing by the commission.</w:t>
      </w:r>
    </w:p>
    <w:p w:rsidR="009720B3" w:rsidRDefault="009720B3">
      <w:pPr>
        <w:pStyle w:val="Amain"/>
      </w:pPr>
      <w:r>
        <w:tab/>
        <w:t>(3)</w:t>
      </w:r>
      <w:r>
        <w:tab/>
        <w:t>An offence against this section is a strict liability offence.</w:t>
      </w:r>
    </w:p>
    <w:p w:rsidR="009720B3" w:rsidRDefault="009720B3">
      <w:pPr>
        <w:pStyle w:val="PageBreak"/>
      </w:pPr>
      <w:r>
        <w:br w:type="page"/>
      </w:r>
    </w:p>
    <w:p w:rsidR="00630B8A" w:rsidRPr="00B043CD" w:rsidRDefault="00630B8A" w:rsidP="00630B8A">
      <w:pPr>
        <w:pStyle w:val="AH2Part"/>
      </w:pPr>
      <w:bookmarkStart w:id="42" w:name="_Toc532221220"/>
      <w:r w:rsidRPr="00B043CD">
        <w:rPr>
          <w:rStyle w:val="CharPartNo"/>
        </w:rPr>
        <w:lastRenderedPageBreak/>
        <w:t>Part 6</w:t>
      </w:r>
      <w:r w:rsidRPr="000E481D">
        <w:tab/>
      </w:r>
      <w:r w:rsidRPr="00B043CD">
        <w:rPr>
          <w:rStyle w:val="CharPartText"/>
        </w:rPr>
        <w:t>Cashless gaming systems</w:t>
      </w:r>
      <w:bookmarkEnd w:id="42"/>
    </w:p>
    <w:p w:rsidR="00630B8A" w:rsidRPr="000E481D" w:rsidRDefault="00630B8A" w:rsidP="00630B8A">
      <w:pPr>
        <w:pStyle w:val="AH5Sec"/>
      </w:pPr>
      <w:bookmarkStart w:id="43" w:name="_Toc532221221"/>
      <w:r w:rsidRPr="00B043CD">
        <w:rPr>
          <w:rStyle w:val="CharSectNo"/>
        </w:rPr>
        <w:t>27</w:t>
      </w:r>
      <w:r w:rsidRPr="000E481D">
        <w:tab/>
        <w:t>Definitions—pt 6</w:t>
      </w:r>
      <w:bookmarkEnd w:id="43"/>
    </w:p>
    <w:p w:rsidR="00630B8A" w:rsidRPr="000E481D" w:rsidRDefault="00630B8A" w:rsidP="00630B8A">
      <w:pPr>
        <w:pStyle w:val="Amain"/>
      </w:pPr>
      <w:r w:rsidRPr="000E481D">
        <w:tab/>
        <w:t>(1)</w:t>
      </w:r>
      <w:r w:rsidRPr="000E481D">
        <w:tab/>
        <w:t>In this part:</w:t>
      </w:r>
    </w:p>
    <w:p w:rsidR="00630B8A" w:rsidRPr="000E481D" w:rsidRDefault="00630B8A" w:rsidP="00630B8A">
      <w:pPr>
        <w:pStyle w:val="aDef"/>
      </w:pPr>
      <w:r w:rsidRPr="000E481D">
        <w:rPr>
          <w:rStyle w:val="charBoldItals"/>
        </w:rPr>
        <w:t>cashless gaming card</w:t>
      </w:r>
      <w:r w:rsidRPr="000E481D">
        <w:t xml:space="preserve"> means a device issued by a licensee that—</w:t>
      </w:r>
    </w:p>
    <w:p w:rsidR="00630B8A" w:rsidRPr="000E481D" w:rsidRDefault="00630B8A" w:rsidP="00630B8A">
      <w:pPr>
        <w:pStyle w:val="aDefpara"/>
      </w:pPr>
      <w:r w:rsidRPr="000E481D">
        <w:tab/>
        <w:t>(a)</w:t>
      </w:r>
      <w:r w:rsidRPr="000E481D">
        <w:tab/>
        <w:t>is used with a licensee’s gaming machine instead of, or as well as, money; and</w:t>
      </w:r>
    </w:p>
    <w:p w:rsidR="00630B8A" w:rsidRPr="000E481D" w:rsidRDefault="00630B8A" w:rsidP="00630B8A">
      <w:pPr>
        <w:pStyle w:val="aDefpara"/>
      </w:pPr>
      <w:r w:rsidRPr="000E481D">
        <w:tab/>
        <w:t>(b)</w:t>
      </w:r>
      <w:r w:rsidRPr="000E481D">
        <w:tab/>
        <w:t>records, or enables recording of, gaming credits available to a player of the licensee’s gaming machine.</w:t>
      </w:r>
    </w:p>
    <w:p w:rsidR="00630B8A" w:rsidRPr="000E481D" w:rsidRDefault="00630B8A" w:rsidP="00630B8A">
      <w:pPr>
        <w:pStyle w:val="aExamHdgss"/>
      </w:pPr>
      <w:r w:rsidRPr="000E481D">
        <w:t xml:space="preserve">Examples </w:t>
      </w:r>
    </w:p>
    <w:p w:rsidR="00630B8A" w:rsidRPr="000E481D" w:rsidRDefault="00630B8A" w:rsidP="00630B8A">
      <w:pPr>
        <w:pStyle w:val="aExamINumss"/>
        <w:ind w:left="1505" w:hanging="405"/>
      </w:pPr>
      <w:r w:rsidRPr="000E481D">
        <w:t>1</w:t>
      </w:r>
      <w:r w:rsidRPr="000E481D">
        <w:tab/>
        <w:t>magnetic swipe card</w:t>
      </w:r>
    </w:p>
    <w:p w:rsidR="00630B8A" w:rsidRPr="000E481D" w:rsidRDefault="00630B8A" w:rsidP="00630B8A">
      <w:pPr>
        <w:pStyle w:val="aExamINumss"/>
        <w:ind w:left="1505" w:hanging="405"/>
      </w:pPr>
      <w:r w:rsidRPr="000E481D">
        <w:t>2</w:t>
      </w:r>
      <w:r w:rsidRPr="000E481D">
        <w:tab/>
        <w:t>gaming machine ticket</w:t>
      </w:r>
    </w:p>
    <w:p w:rsidR="00630B8A" w:rsidRPr="000E481D" w:rsidRDefault="00630B8A" w:rsidP="00630B8A">
      <w:pPr>
        <w:pStyle w:val="aExamINumss"/>
        <w:ind w:left="1505" w:hanging="405"/>
      </w:pPr>
      <w:r w:rsidRPr="000E481D">
        <w:t>3</w:t>
      </w:r>
      <w:r w:rsidRPr="000E481D">
        <w:tab/>
        <w:t>plastic token</w:t>
      </w:r>
    </w:p>
    <w:p w:rsidR="00630B8A" w:rsidRPr="000E481D" w:rsidRDefault="00630B8A" w:rsidP="00630B8A">
      <w:pPr>
        <w:pStyle w:val="aExamINumss"/>
        <w:ind w:left="1505" w:hanging="405"/>
      </w:pPr>
      <w:r w:rsidRPr="000E481D">
        <w:t>4</w:t>
      </w:r>
      <w:r w:rsidRPr="000E481D">
        <w:tab/>
        <w:t>smartcard</w:t>
      </w:r>
    </w:p>
    <w:p w:rsidR="00630B8A" w:rsidRPr="000E481D" w:rsidRDefault="00630B8A" w:rsidP="00630B8A">
      <w:pPr>
        <w:pStyle w:val="aExamINumss"/>
        <w:ind w:left="1505" w:hanging="405"/>
      </w:pPr>
      <w:r w:rsidRPr="000E481D">
        <w:t>5</w:t>
      </w:r>
      <w:r w:rsidRPr="000E481D">
        <w:tab/>
        <w:t>ticket-in or ticket-out</w:t>
      </w:r>
    </w:p>
    <w:p w:rsidR="00630B8A" w:rsidRPr="000E481D" w:rsidRDefault="00630B8A" w:rsidP="00630B8A">
      <w:pPr>
        <w:pStyle w:val="aExamINumss"/>
        <w:keepNext/>
        <w:ind w:left="1505" w:hanging="405"/>
      </w:pPr>
      <w:r w:rsidRPr="000E481D">
        <w:t>6</w:t>
      </w:r>
      <w:r w:rsidRPr="000E481D">
        <w:tab/>
        <w:t>radio-frequency identification (RFID) tag</w:t>
      </w:r>
    </w:p>
    <w:p w:rsidR="00630B8A" w:rsidRPr="000E481D" w:rsidRDefault="00630B8A" w:rsidP="00630B8A">
      <w:pPr>
        <w:pStyle w:val="aNote"/>
      </w:pPr>
      <w:r w:rsidRPr="000E481D">
        <w:rPr>
          <w:rStyle w:val="charItals"/>
        </w:rPr>
        <w:t>Note</w:t>
      </w:r>
      <w:r w:rsidRPr="000E481D">
        <w:tab/>
        <w:t xml:space="preserve">An example is part of the regulation, is not exhaustive and may extend, but does not limit, the meaning of the provision in which it appears (see </w:t>
      </w:r>
      <w:hyperlink r:id="rId54" w:tooltip="A2001-14" w:history="1">
        <w:r w:rsidRPr="000E481D">
          <w:rPr>
            <w:rStyle w:val="charCitHyperlinkAbbrev"/>
          </w:rPr>
          <w:t>Legislation Act</w:t>
        </w:r>
      </w:hyperlink>
      <w:r w:rsidRPr="000E481D">
        <w:t>, s 126 and s 132).</w:t>
      </w:r>
    </w:p>
    <w:p w:rsidR="00630B8A" w:rsidRPr="000E481D" w:rsidRDefault="00630B8A" w:rsidP="00630B8A">
      <w:pPr>
        <w:pStyle w:val="aDef"/>
      </w:pPr>
      <w:r w:rsidRPr="000E481D">
        <w:rPr>
          <w:rStyle w:val="charBoldItals"/>
        </w:rPr>
        <w:t>cashless gaming system</w:t>
      </w:r>
      <w:r w:rsidRPr="000E481D">
        <w:t xml:space="preserve"> means peripheral equipment connected to a gaming machine that provides for—</w:t>
      </w:r>
    </w:p>
    <w:p w:rsidR="00630B8A" w:rsidRPr="000E481D" w:rsidRDefault="00630B8A" w:rsidP="00630B8A">
      <w:pPr>
        <w:pStyle w:val="aDefpara"/>
      </w:pPr>
      <w:r w:rsidRPr="000E481D">
        <w:tab/>
        <w:t>(a)</w:t>
      </w:r>
      <w:r w:rsidRPr="000E481D">
        <w:tab/>
        <w:t xml:space="preserve">the recording of gaming credits held by a player with the licensee of a gaming machine for use with </w:t>
      </w:r>
      <w:r w:rsidR="000641F0" w:rsidRPr="00AE589E">
        <w:rPr>
          <w:szCs w:val="24"/>
        </w:rPr>
        <w:t>the gaming machine</w:t>
      </w:r>
      <w:r w:rsidRPr="000E481D">
        <w:t>; and</w:t>
      </w:r>
    </w:p>
    <w:p w:rsidR="00630B8A" w:rsidRPr="000E481D" w:rsidRDefault="00630B8A" w:rsidP="00630B8A">
      <w:pPr>
        <w:pStyle w:val="aDefpara"/>
      </w:pPr>
      <w:r w:rsidRPr="000E481D">
        <w:tab/>
        <w:t>(b)</w:t>
      </w:r>
      <w:r w:rsidRPr="000E481D">
        <w:tab/>
        <w:t>the transfer of gaming credits held by a player to and from a gaming machine through the use of a cashless gaming card.</w:t>
      </w:r>
    </w:p>
    <w:p w:rsidR="00630B8A" w:rsidRPr="000E481D" w:rsidRDefault="00630B8A" w:rsidP="00630B8A">
      <w:pPr>
        <w:pStyle w:val="aExamHdgss"/>
      </w:pPr>
      <w:r w:rsidRPr="000E481D">
        <w:t>Examples</w:t>
      </w:r>
    </w:p>
    <w:p w:rsidR="00630B8A" w:rsidRPr="000E481D" w:rsidRDefault="00630B8A" w:rsidP="00630B8A">
      <w:pPr>
        <w:pStyle w:val="aExamINumss"/>
        <w:ind w:left="1505" w:hanging="405"/>
      </w:pPr>
      <w:r w:rsidRPr="000E481D">
        <w:t>1</w:t>
      </w:r>
      <w:r w:rsidRPr="000E481D">
        <w:tab/>
        <w:t>ticket-in ticket-out system</w:t>
      </w:r>
    </w:p>
    <w:p w:rsidR="00630B8A" w:rsidRPr="000E481D" w:rsidRDefault="00630B8A" w:rsidP="00630B8A">
      <w:pPr>
        <w:pStyle w:val="aExamINumss"/>
        <w:ind w:left="1505" w:hanging="405"/>
      </w:pPr>
      <w:r w:rsidRPr="000E481D">
        <w:t>2</w:t>
      </w:r>
      <w:r w:rsidRPr="000E481D">
        <w:tab/>
        <w:t>system that provides for gaming using a player account</w:t>
      </w:r>
    </w:p>
    <w:p w:rsidR="00630B8A" w:rsidRPr="000E481D" w:rsidRDefault="00630B8A" w:rsidP="00630B8A">
      <w:pPr>
        <w:pStyle w:val="aExamINumss"/>
        <w:ind w:left="1505" w:hanging="405"/>
      </w:pPr>
      <w:r w:rsidRPr="000E481D">
        <w:t>3</w:t>
      </w:r>
      <w:r w:rsidRPr="000E481D">
        <w:tab/>
        <w:t>system that provides for non-account cashless gaming</w:t>
      </w:r>
    </w:p>
    <w:p w:rsidR="00630B8A" w:rsidRPr="000E481D" w:rsidRDefault="00630B8A" w:rsidP="00630B8A">
      <w:pPr>
        <w:pStyle w:val="Amainreturn"/>
      </w:pPr>
      <w:r w:rsidRPr="000E481D">
        <w:rPr>
          <w:rStyle w:val="charBoldItals"/>
        </w:rPr>
        <w:lastRenderedPageBreak/>
        <w:t>expired gaming credits</w:t>
      </w:r>
      <w:r w:rsidRPr="000E481D">
        <w:t xml:space="preserve"> means gaming credits that have expired under section 34 (2).</w:t>
      </w:r>
    </w:p>
    <w:p w:rsidR="00630B8A" w:rsidRPr="000E481D" w:rsidRDefault="00630B8A" w:rsidP="00630B8A">
      <w:pPr>
        <w:pStyle w:val="Amainreturn"/>
      </w:pPr>
      <w:r w:rsidRPr="000E481D">
        <w:rPr>
          <w:rStyle w:val="charBoldItals"/>
        </w:rPr>
        <w:t>gaming credits</w:t>
      </w:r>
      <w:r w:rsidRPr="000E481D">
        <w:t xml:space="preserve"> means the funds available through a cashless gaming card for gaming machine play or redemption.</w:t>
      </w:r>
    </w:p>
    <w:p w:rsidR="00630B8A" w:rsidRPr="000E481D" w:rsidRDefault="00630B8A" w:rsidP="00630B8A">
      <w:pPr>
        <w:pStyle w:val="aDef"/>
      </w:pPr>
      <w:r w:rsidRPr="000E481D">
        <w:rPr>
          <w:rStyle w:val="charBoldItals"/>
        </w:rPr>
        <w:t>player account card</w:t>
      </w:r>
      <w:r w:rsidRPr="000E481D">
        <w:t xml:space="preserve">, in relation to an individual’s player account, means a cashless gaming card issued by the licensee allowing the individual to use gaming credits in the individual’s player account with a gaming machine on the licensee’s </w:t>
      </w:r>
      <w:r w:rsidR="00F860E4" w:rsidRPr="00AE589E">
        <w:rPr>
          <w:szCs w:val="24"/>
        </w:rPr>
        <w:t>authorised</w:t>
      </w:r>
      <w:r w:rsidR="00F860E4">
        <w:rPr>
          <w:szCs w:val="24"/>
        </w:rPr>
        <w:t xml:space="preserve"> </w:t>
      </w:r>
      <w:r w:rsidRPr="000E481D">
        <w:t>premises.</w:t>
      </w:r>
    </w:p>
    <w:p w:rsidR="00630B8A" w:rsidRPr="000E481D" w:rsidRDefault="00630B8A" w:rsidP="00630B8A">
      <w:pPr>
        <w:pStyle w:val="aDef"/>
        <w:rPr>
          <w:b/>
        </w:rPr>
      </w:pPr>
      <w:r w:rsidRPr="000E481D">
        <w:rPr>
          <w:rStyle w:val="charBoldItals"/>
        </w:rPr>
        <w:t>redeems</w:t>
      </w:r>
      <w:r w:rsidRPr="000E481D">
        <w:t xml:space="preserve">—a licensee </w:t>
      </w:r>
      <w:r w:rsidRPr="000E481D">
        <w:rPr>
          <w:rStyle w:val="charBoldItals"/>
        </w:rPr>
        <w:t>redeems</w:t>
      </w:r>
      <w:r w:rsidRPr="000E481D">
        <w:t xml:space="preserve"> gaming credits on a cashless gaming card if the licensee gives the holder an equivalent amount of money in exchange for the credits.</w:t>
      </w:r>
    </w:p>
    <w:p w:rsidR="00630B8A" w:rsidRPr="000E481D" w:rsidRDefault="00630B8A" w:rsidP="00630B8A">
      <w:pPr>
        <w:pStyle w:val="Amain"/>
      </w:pPr>
      <w:r w:rsidRPr="000E481D">
        <w:tab/>
        <w:t>(2)</w:t>
      </w:r>
      <w:r w:rsidRPr="000E481D">
        <w:tab/>
        <w:t>In this section:</w:t>
      </w:r>
    </w:p>
    <w:p w:rsidR="00630B8A" w:rsidRPr="000E481D" w:rsidRDefault="00630B8A" w:rsidP="00630B8A">
      <w:pPr>
        <w:pStyle w:val="aDef"/>
        <w:keepNext/>
        <w:keepLines/>
      </w:pPr>
      <w:r w:rsidRPr="000E481D">
        <w:rPr>
          <w:rStyle w:val="charBoldItals"/>
        </w:rPr>
        <w:t>player account</w:t>
      </w:r>
      <w:r w:rsidRPr="000E481D">
        <w:t xml:space="preserve"> means an account held by an individual with a licensee that allows the individual to hold gaming credits with the licensee for use with a gaming machine on the licensee’s </w:t>
      </w:r>
      <w:r w:rsidR="00F860E4" w:rsidRPr="00AE589E">
        <w:rPr>
          <w:szCs w:val="24"/>
        </w:rPr>
        <w:t>authorised</w:t>
      </w:r>
      <w:r w:rsidR="00F860E4">
        <w:rPr>
          <w:szCs w:val="24"/>
        </w:rPr>
        <w:t xml:space="preserve"> </w:t>
      </w:r>
      <w:r w:rsidRPr="000E481D">
        <w:t>premises.</w:t>
      </w:r>
    </w:p>
    <w:p w:rsidR="00630B8A" w:rsidRPr="000E481D" w:rsidRDefault="00630B8A" w:rsidP="00630B8A">
      <w:pPr>
        <w:pStyle w:val="aDef"/>
      </w:pPr>
      <w:r w:rsidRPr="000E481D">
        <w:rPr>
          <w:rStyle w:val="charBoldItals"/>
        </w:rPr>
        <w:t>ticket-in</w:t>
      </w:r>
      <w:r w:rsidRPr="000E481D">
        <w:t xml:space="preserve"> </w:t>
      </w:r>
      <w:r w:rsidRPr="000E481D">
        <w:rPr>
          <w:rStyle w:val="charBoldItals"/>
        </w:rPr>
        <w:t>ticket-out system</w:t>
      </w:r>
      <w:r w:rsidRPr="000E481D">
        <w:t xml:space="preserve"> means an electronic system or device designed to be used for, or adapted to enable, the transfer of credits to or from a gaming machine using a ticket or similar thing.</w:t>
      </w:r>
    </w:p>
    <w:p w:rsidR="00630B8A" w:rsidRPr="000E481D" w:rsidRDefault="00630B8A" w:rsidP="00630B8A">
      <w:pPr>
        <w:pStyle w:val="AH5Sec"/>
      </w:pPr>
      <w:bookmarkStart w:id="44" w:name="_Toc532221222"/>
      <w:r w:rsidRPr="00B043CD">
        <w:rPr>
          <w:rStyle w:val="CharSectNo"/>
        </w:rPr>
        <w:t>28</w:t>
      </w:r>
      <w:r w:rsidRPr="000E481D">
        <w:tab/>
        <w:t>Operating unapproved cashless gaming system</w:t>
      </w:r>
      <w:bookmarkEnd w:id="44"/>
    </w:p>
    <w:p w:rsidR="00630B8A" w:rsidRPr="000E481D" w:rsidRDefault="00630B8A" w:rsidP="00630B8A">
      <w:pPr>
        <w:pStyle w:val="Amain"/>
      </w:pPr>
      <w:r w:rsidRPr="000E481D">
        <w:tab/>
        <w:t>(1)</w:t>
      </w:r>
      <w:r w:rsidRPr="000E481D">
        <w:tab/>
        <w:t>A licensee commits an offence if—</w:t>
      </w:r>
    </w:p>
    <w:p w:rsidR="00630B8A" w:rsidRPr="000E481D" w:rsidRDefault="00630B8A" w:rsidP="00630B8A">
      <w:pPr>
        <w:pStyle w:val="Apara"/>
      </w:pPr>
      <w:r w:rsidRPr="000E481D">
        <w:tab/>
        <w:t>(a)</w:t>
      </w:r>
      <w:r w:rsidRPr="000E481D">
        <w:tab/>
        <w:t xml:space="preserve">the licensee operates a cashless gaming system on the licensee’s </w:t>
      </w:r>
      <w:r w:rsidR="00F860E4" w:rsidRPr="00AE589E">
        <w:rPr>
          <w:szCs w:val="24"/>
        </w:rPr>
        <w:t>authorised</w:t>
      </w:r>
      <w:r w:rsidR="00F860E4">
        <w:rPr>
          <w:szCs w:val="24"/>
        </w:rPr>
        <w:t xml:space="preserve"> </w:t>
      </w:r>
      <w:r w:rsidRPr="000E481D">
        <w:t>premises; and</w:t>
      </w:r>
    </w:p>
    <w:p w:rsidR="00630B8A" w:rsidRPr="000E481D" w:rsidRDefault="00630B8A" w:rsidP="00630B8A">
      <w:pPr>
        <w:pStyle w:val="Apara"/>
      </w:pPr>
      <w:r w:rsidRPr="000E481D">
        <w:tab/>
        <w:t>(b)</w:t>
      </w:r>
      <w:r w:rsidRPr="000E481D">
        <w:tab/>
        <w:t xml:space="preserve">the cashless gaming system is not approved by the commission under the </w:t>
      </w:r>
      <w:hyperlink r:id="rId55" w:tooltip="A2004-34" w:history="1">
        <w:r w:rsidRPr="00EB6445">
          <w:rPr>
            <w:rStyle w:val="charCitHyperlinkAbbrev"/>
          </w:rPr>
          <w:t>Act</w:t>
        </w:r>
      </w:hyperlink>
      <w:r w:rsidRPr="000E481D">
        <w:t>, section 69 (Approval of gaming machines and peripheral equipment).</w:t>
      </w:r>
    </w:p>
    <w:p w:rsidR="00630B8A" w:rsidRPr="000E481D" w:rsidRDefault="00630B8A" w:rsidP="00630B8A">
      <w:pPr>
        <w:pStyle w:val="Penalty"/>
      </w:pPr>
      <w:r w:rsidRPr="000E481D">
        <w:t>Maximum penalty:  10 penalty units.</w:t>
      </w:r>
    </w:p>
    <w:p w:rsidR="00630B8A" w:rsidRPr="000E481D" w:rsidRDefault="00630B8A" w:rsidP="00630B8A">
      <w:pPr>
        <w:pStyle w:val="Amain"/>
      </w:pPr>
      <w:r w:rsidRPr="000E481D">
        <w:tab/>
        <w:t>(2)</w:t>
      </w:r>
      <w:r w:rsidRPr="000E481D">
        <w:tab/>
        <w:t>An offence against this section is a strict liability offence.</w:t>
      </w:r>
    </w:p>
    <w:p w:rsidR="00630B8A" w:rsidRPr="000E481D" w:rsidRDefault="00630B8A" w:rsidP="00630B8A">
      <w:pPr>
        <w:pStyle w:val="AH5Sec"/>
      </w:pPr>
      <w:bookmarkStart w:id="45" w:name="_Toc532221223"/>
      <w:r w:rsidRPr="00B043CD">
        <w:rPr>
          <w:rStyle w:val="CharSectNo"/>
        </w:rPr>
        <w:lastRenderedPageBreak/>
        <w:t>29</w:t>
      </w:r>
      <w:r w:rsidRPr="000E481D">
        <w:tab/>
        <w:t>Cashless gaming system operational requirements</w:t>
      </w:r>
      <w:bookmarkEnd w:id="45"/>
    </w:p>
    <w:p w:rsidR="00630B8A" w:rsidRPr="000E481D" w:rsidRDefault="00630B8A" w:rsidP="00630B8A">
      <w:pPr>
        <w:pStyle w:val="Amain"/>
      </w:pPr>
      <w:r w:rsidRPr="000E481D">
        <w:tab/>
        <w:t>(1)</w:t>
      </w:r>
      <w:r w:rsidRPr="000E481D">
        <w:tab/>
        <w:t>The commission may approve requirements for operating a cashless gaming system, including requirements about the following:</w:t>
      </w:r>
    </w:p>
    <w:p w:rsidR="00630B8A" w:rsidRPr="000E481D" w:rsidRDefault="00630B8A" w:rsidP="00630B8A">
      <w:pPr>
        <w:pStyle w:val="Apara"/>
      </w:pPr>
      <w:r w:rsidRPr="000E481D">
        <w:tab/>
        <w:t>(a)</w:t>
      </w:r>
      <w:r w:rsidRPr="000E481D">
        <w:tab/>
        <w:t>security systems and information the security systems hold and collect;</w:t>
      </w:r>
    </w:p>
    <w:p w:rsidR="00630B8A" w:rsidRPr="000E481D" w:rsidRDefault="00630B8A" w:rsidP="00630B8A">
      <w:pPr>
        <w:pStyle w:val="Apara"/>
      </w:pPr>
      <w:r w:rsidRPr="000E481D">
        <w:tab/>
        <w:t>(b)</w:t>
      </w:r>
      <w:r w:rsidRPr="000E481D">
        <w:tab/>
        <w:t>activity relating to gaming machines connected to the system;</w:t>
      </w:r>
    </w:p>
    <w:p w:rsidR="00630B8A" w:rsidRPr="000E481D" w:rsidRDefault="00630B8A" w:rsidP="00630B8A">
      <w:pPr>
        <w:pStyle w:val="Apara"/>
      </w:pPr>
      <w:r w:rsidRPr="000E481D">
        <w:tab/>
        <w:t>(c)</w:t>
      </w:r>
      <w:r w:rsidRPr="000E481D">
        <w:tab/>
        <w:t>activity relating to people using the system;</w:t>
      </w:r>
    </w:p>
    <w:p w:rsidR="00630B8A" w:rsidRPr="000E481D" w:rsidRDefault="00630B8A" w:rsidP="00630B8A">
      <w:pPr>
        <w:pStyle w:val="Apara"/>
      </w:pPr>
      <w:r w:rsidRPr="000E481D">
        <w:tab/>
        <w:t>(d)</w:t>
      </w:r>
      <w:r w:rsidRPr="000E481D">
        <w:tab/>
        <w:t>harm minimisation and other protection measures for players using the system;</w:t>
      </w:r>
    </w:p>
    <w:p w:rsidR="00630B8A" w:rsidRPr="000E481D" w:rsidRDefault="00630B8A" w:rsidP="00630B8A">
      <w:pPr>
        <w:pStyle w:val="Apara"/>
      </w:pPr>
      <w:r w:rsidRPr="000E481D">
        <w:tab/>
        <w:t>(e)</w:t>
      </w:r>
      <w:r w:rsidRPr="000E481D">
        <w:tab/>
        <w:t>how gaming machine tax relating to gaming machines connected to the system is calculated;</w:t>
      </w:r>
    </w:p>
    <w:p w:rsidR="00630B8A" w:rsidRPr="000E481D" w:rsidRDefault="00630B8A" w:rsidP="00630B8A">
      <w:pPr>
        <w:pStyle w:val="Apara"/>
      </w:pPr>
      <w:r w:rsidRPr="000E481D">
        <w:tab/>
        <w:t>(f)</w:t>
      </w:r>
      <w:r w:rsidRPr="000E481D">
        <w:tab/>
        <w:t>how the licensee keeps and deals with funds relating to gaming credits held on behalf of players;</w:t>
      </w:r>
      <w:r w:rsidRPr="000E481D">
        <w:tab/>
      </w:r>
    </w:p>
    <w:p w:rsidR="00630B8A" w:rsidRPr="000E481D" w:rsidRDefault="00630B8A" w:rsidP="00630B8A">
      <w:pPr>
        <w:pStyle w:val="Apara"/>
      </w:pPr>
      <w:r w:rsidRPr="000E481D">
        <w:tab/>
        <w:t>(g)</w:t>
      </w:r>
      <w:r w:rsidRPr="000E481D">
        <w:tab/>
        <w:t xml:space="preserve">technical or operational requirements for the system; </w:t>
      </w:r>
    </w:p>
    <w:p w:rsidR="00630B8A" w:rsidRPr="000E481D" w:rsidRDefault="00630B8A" w:rsidP="00630B8A">
      <w:pPr>
        <w:pStyle w:val="Apara"/>
      </w:pPr>
      <w:r w:rsidRPr="000E481D">
        <w:tab/>
        <w:t>(h)</w:t>
      </w:r>
      <w:r w:rsidRPr="000E481D">
        <w:tab/>
        <w:t>recording the redemption, crediting and debiting of gaming credits;</w:t>
      </w:r>
    </w:p>
    <w:p w:rsidR="00630B8A" w:rsidRPr="000E481D" w:rsidRDefault="00630B8A" w:rsidP="00630B8A">
      <w:pPr>
        <w:pStyle w:val="Apara"/>
      </w:pPr>
      <w:r w:rsidRPr="000E481D">
        <w:tab/>
        <w:t>(i)</w:t>
      </w:r>
      <w:r w:rsidRPr="000E481D">
        <w:tab/>
        <w:t>the maximum amount of gaming credits a gaming machine may accept through the use of a cashless gaming card.</w:t>
      </w:r>
    </w:p>
    <w:p w:rsidR="00630B8A" w:rsidRPr="000E481D" w:rsidRDefault="00630B8A" w:rsidP="00630B8A">
      <w:pPr>
        <w:pStyle w:val="Amain"/>
      </w:pPr>
      <w:r w:rsidRPr="000E481D">
        <w:tab/>
        <w:t>(2)</w:t>
      </w:r>
      <w:r w:rsidRPr="000E481D">
        <w:tab/>
        <w:t>An approval is a notifiable instrument.</w:t>
      </w:r>
    </w:p>
    <w:p w:rsidR="00630B8A" w:rsidRPr="000E481D" w:rsidRDefault="00630B8A" w:rsidP="00630B8A">
      <w:pPr>
        <w:pStyle w:val="aNote"/>
      </w:pPr>
      <w:r w:rsidRPr="000E481D">
        <w:rPr>
          <w:rStyle w:val="charItals"/>
        </w:rPr>
        <w:t>Note</w:t>
      </w:r>
      <w:r w:rsidRPr="000E481D">
        <w:rPr>
          <w:rStyle w:val="charItals"/>
        </w:rPr>
        <w:tab/>
      </w:r>
      <w:r w:rsidRPr="000E481D">
        <w:t xml:space="preserve">A notifiable instrument must be notified under the </w:t>
      </w:r>
      <w:hyperlink r:id="rId56" w:tooltip="A2001-14" w:history="1">
        <w:r w:rsidRPr="000E481D">
          <w:rPr>
            <w:rStyle w:val="charCitHyperlinkAbbrev"/>
          </w:rPr>
          <w:t>Legislation Act</w:t>
        </w:r>
      </w:hyperlink>
      <w:r w:rsidRPr="000E481D">
        <w:t>.</w:t>
      </w:r>
    </w:p>
    <w:p w:rsidR="00630B8A" w:rsidRPr="000E481D" w:rsidRDefault="00630B8A" w:rsidP="00630B8A">
      <w:pPr>
        <w:pStyle w:val="AH5Sec"/>
      </w:pPr>
      <w:bookmarkStart w:id="46" w:name="_Toc532221224"/>
      <w:r w:rsidRPr="00B043CD">
        <w:rPr>
          <w:rStyle w:val="CharSectNo"/>
        </w:rPr>
        <w:lastRenderedPageBreak/>
        <w:t>30</w:t>
      </w:r>
      <w:r w:rsidRPr="000E481D">
        <w:tab/>
        <w:t>Failure to comply with cashless gaming system operational requirement</w:t>
      </w:r>
      <w:bookmarkEnd w:id="46"/>
    </w:p>
    <w:p w:rsidR="00630B8A" w:rsidRPr="000E481D" w:rsidRDefault="00630B8A" w:rsidP="00EE3EA5">
      <w:pPr>
        <w:pStyle w:val="Amain"/>
        <w:keepNext/>
      </w:pPr>
      <w:r w:rsidRPr="000E481D">
        <w:tab/>
        <w:t>(1)</w:t>
      </w:r>
      <w:r w:rsidRPr="000E481D">
        <w:tab/>
        <w:t>A licensee commits an offence if—</w:t>
      </w:r>
    </w:p>
    <w:p w:rsidR="00630B8A" w:rsidRPr="000E481D" w:rsidRDefault="00630B8A" w:rsidP="00EE3EA5">
      <w:pPr>
        <w:pStyle w:val="Apara"/>
        <w:keepNext/>
      </w:pPr>
      <w:r w:rsidRPr="000E481D">
        <w:tab/>
        <w:t>(a)</w:t>
      </w:r>
      <w:r w:rsidRPr="000E481D">
        <w:tab/>
        <w:t>the licensee operates a cashless gaming system; and</w:t>
      </w:r>
    </w:p>
    <w:p w:rsidR="00630B8A" w:rsidRPr="000E481D" w:rsidRDefault="00630B8A" w:rsidP="00E86710">
      <w:pPr>
        <w:pStyle w:val="Apara"/>
        <w:keepNext/>
      </w:pPr>
      <w:r w:rsidRPr="000E481D">
        <w:tab/>
        <w:t>(b)</w:t>
      </w:r>
      <w:r w:rsidRPr="000E481D">
        <w:tab/>
        <w:t>the licensee fails to comply with a requirement approved under section 29.</w:t>
      </w:r>
    </w:p>
    <w:p w:rsidR="00630B8A" w:rsidRPr="000E481D" w:rsidRDefault="00630B8A" w:rsidP="00630B8A">
      <w:pPr>
        <w:pStyle w:val="Penalty"/>
      </w:pPr>
      <w:r w:rsidRPr="000E481D">
        <w:t>Maximum penalty:  10 penalty units.</w:t>
      </w:r>
    </w:p>
    <w:p w:rsidR="00630B8A" w:rsidRPr="000E481D" w:rsidRDefault="00630B8A" w:rsidP="00630B8A">
      <w:pPr>
        <w:pStyle w:val="Amain"/>
      </w:pPr>
      <w:r w:rsidRPr="000E481D">
        <w:tab/>
        <w:t>(2)</w:t>
      </w:r>
      <w:r w:rsidRPr="000E481D">
        <w:tab/>
        <w:t>An offence against this section is a strict liability offence.</w:t>
      </w:r>
    </w:p>
    <w:p w:rsidR="00630B8A" w:rsidRPr="000E481D" w:rsidRDefault="00630B8A" w:rsidP="00630B8A">
      <w:pPr>
        <w:pStyle w:val="AH5Sec"/>
      </w:pPr>
      <w:bookmarkStart w:id="47" w:name="_Toc532221225"/>
      <w:r w:rsidRPr="00B043CD">
        <w:rPr>
          <w:rStyle w:val="CharSectNo"/>
        </w:rPr>
        <w:t>31</w:t>
      </w:r>
      <w:r w:rsidRPr="000E481D">
        <w:tab/>
        <w:t>Cashless gaming system—offences relating to children</w:t>
      </w:r>
      <w:bookmarkEnd w:id="47"/>
    </w:p>
    <w:p w:rsidR="00630B8A" w:rsidRPr="000E481D" w:rsidRDefault="00630B8A" w:rsidP="00630B8A">
      <w:pPr>
        <w:pStyle w:val="Amain"/>
      </w:pPr>
      <w:r w:rsidRPr="000E481D">
        <w:tab/>
        <w:t>(1)</w:t>
      </w:r>
      <w:r w:rsidRPr="000E481D">
        <w:tab/>
        <w:t>A licensee commits an offence if the licensee gives a cashless gaming card to a child.</w:t>
      </w:r>
    </w:p>
    <w:p w:rsidR="00630B8A" w:rsidRPr="000E481D" w:rsidRDefault="00630B8A" w:rsidP="00630B8A">
      <w:pPr>
        <w:pStyle w:val="Amainreturn"/>
      </w:pPr>
      <w:r w:rsidRPr="000E481D">
        <w:t>Maximum penalty:  10 penalty units.</w:t>
      </w:r>
    </w:p>
    <w:p w:rsidR="00630B8A" w:rsidRPr="000E481D" w:rsidRDefault="00630B8A" w:rsidP="00630B8A">
      <w:pPr>
        <w:pStyle w:val="Amain"/>
      </w:pPr>
      <w:r w:rsidRPr="000E481D">
        <w:tab/>
        <w:t>(2)</w:t>
      </w:r>
      <w:r w:rsidRPr="000E481D">
        <w:tab/>
        <w:t>A licensee commits an offence if the licensee—</w:t>
      </w:r>
    </w:p>
    <w:p w:rsidR="00630B8A" w:rsidRPr="000E481D" w:rsidRDefault="00630B8A" w:rsidP="00630B8A">
      <w:pPr>
        <w:pStyle w:val="Apara"/>
      </w:pPr>
      <w:r w:rsidRPr="000E481D">
        <w:tab/>
        <w:t>(a)</w:t>
      </w:r>
      <w:r w:rsidRPr="000E481D">
        <w:tab/>
        <w:t xml:space="preserve">operates a cashless gaming system on the licensee’s </w:t>
      </w:r>
      <w:r w:rsidR="00F860E4" w:rsidRPr="00AE589E">
        <w:rPr>
          <w:szCs w:val="24"/>
        </w:rPr>
        <w:t>authorised</w:t>
      </w:r>
      <w:r w:rsidR="00F860E4">
        <w:rPr>
          <w:szCs w:val="24"/>
        </w:rPr>
        <w:t xml:space="preserve"> </w:t>
      </w:r>
      <w:r w:rsidRPr="000E481D">
        <w:t>premises; and</w:t>
      </w:r>
    </w:p>
    <w:p w:rsidR="00630B8A" w:rsidRPr="000E481D" w:rsidRDefault="00630B8A" w:rsidP="00630B8A">
      <w:pPr>
        <w:pStyle w:val="Apara"/>
      </w:pPr>
      <w:r w:rsidRPr="000E481D">
        <w:tab/>
        <w:t>(b)</w:t>
      </w:r>
      <w:r w:rsidRPr="000E481D">
        <w:tab/>
        <w:t>allows a child to use the cashless gaming system.</w:t>
      </w:r>
    </w:p>
    <w:p w:rsidR="00630B8A" w:rsidRPr="000E481D" w:rsidRDefault="00630B8A" w:rsidP="00630B8A">
      <w:pPr>
        <w:pStyle w:val="Amainreturn"/>
      </w:pPr>
      <w:r w:rsidRPr="000E481D">
        <w:t>Maximum penalty:  10 penalty units.</w:t>
      </w:r>
    </w:p>
    <w:p w:rsidR="00630B8A" w:rsidRPr="000E481D" w:rsidRDefault="00630B8A" w:rsidP="00630B8A">
      <w:pPr>
        <w:pStyle w:val="Amain"/>
      </w:pPr>
      <w:r w:rsidRPr="000E481D">
        <w:tab/>
        <w:t>(3)</w:t>
      </w:r>
      <w:r w:rsidRPr="000E481D">
        <w:tab/>
        <w:t>An offence against this section is a strict liability offence.</w:t>
      </w:r>
    </w:p>
    <w:p w:rsidR="00630B8A" w:rsidRPr="000E481D" w:rsidRDefault="00630B8A" w:rsidP="00630B8A">
      <w:pPr>
        <w:pStyle w:val="aNote"/>
      </w:pPr>
      <w:r w:rsidRPr="000E481D">
        <w:rPr>
          <w:rStyle w:val="charItals"/>
        </w:rPr>
        <w:t>Note</w:t>
      </w:r>
      <w:r w:rsidRPr="000E481D">
        <w:rPr>
          <w:rStyle w:val="charItals"/>
        </w:rPr>
        <w:tab/>
      </w:r>
      <w:r w:rsidRPr="000E481D">
        <w:t xml:space="preserve">A licensee must not allow a child to play a gaming machine—see the </w:t>
      </w:r>
      <w:hyperlink r:id="rId57" w:tooltip="A2004-34" w:history="1">
        <w:r w:rsidRPr="00EB6445">
          <w:rPr>
            <w:rStyle w:val="charCitHyperlinkAbbrev"/>
          </w:rPr>
          <w:t>Act</w:t>
        </w:r>
      </w:hyperlink>
      <w:r w:rsidRPr="000E481D">
        <w:t>, s 156.</w:t>
      </w:r>
    </w:p>
    <w:p w:rsidR="00630B8A" w:rsidRPr="000E481D" w:rsidRDefault="00630B8A" w:rsidP="00630B8A">
      <w:pPr>
        <w:pStyle w:val="AH5Sec"/>
      </w:pPr>
      <w:bookmarkStart w:id="48" w:name="_Toc532221226"/>
      <w:r w:rsidRPr="00B043CD">
        <w:rPr>
          <w:rStyle w:val="CharSectNo"/>
        </w:rPr>
        <w:t>32</w:t>
      </w:r>
      <w:r w:rsidRPr="000E481D">
        <w:tab/>
        <w:t>Cashless gaming systems—control procedures</w:t>
      </w:r>
      <w:bookmarkEnd w:id="48"/>
    </w:p>
    <w:p w:rsidR="00630B8A" w:rsidRPr="000E481D" w:rsidRDefault="00630B8A" w:rsidP="00707653">
      <w:pPr>
        <w:pStyle w:val="Amainreturn"/>
      </w:pPr>
      <w:r w:rsidRPr="000E481D">
        <w:t>A licensee’s control procedures must require the licensee to—</w:t>
      </w:r>
    </w:p>
    <w:p w:rsidR="00630B8A" w:rsidRPr="000E481D" w:rsidRDefault="00630B8A" w:rsidP="00630B8A">
      <w:pPr>
        <w:pStyle w:val="Apara"/>
      </w:pPr>
      <w:r w:rsidRPr="000E481D">
        <w:tab/>
        <w:t>(a)</w:t>
      </w:r>
      <w:r w:rsidRPr="000E481D">
        <w:tab/>
        <w:t>keep a record of—</w:t>
      </w:r>
    </w:p>
    <w:p w:rsidR="00630B8A" w:rsidRPr="000E481D" w:rsidRDefault="00630B8A" w:rsidP="00630B8A">
      <w:pPr>
        <w:pStyle w:val="Asubpara"/>
      </w:pPr>
      <w:r w:rsidRPr="000E481D">
        <w:tab/>
        <w:t>(i)</w:t>
      </w:r>
      <w:r w:rsidRPr="000E481D">
        <w:tab/>
        <w:t>cashless gaming cards issued; and</w:t>
      </w:r>
    </w:p>
    <w:p w:rsidR="00630B8A" w:rsidRPr="000E481D" w:rsidRDefault="00630B8A" w:rsidP="00630B8A">
      <w:pPr>
        <w:pStyle w:val="Asubpara"/>
      </w:pPr>
      <w:r w:rsidRPr="000E481D">
        <w:lastRenderedPageBreak/>
        <w:tab/>
        <w:t>(ii)</w:t>
      </w:r>
      <w:r w:rsidRPr="000E481D">
        <w:tab/>
        <w:t>cashless gaming system transactions and the information contained in each transaction; and</w:t>
      </w:r>
    </w:p>
    <w:p w:rsidR="00630B8A" w:rsidRPr="000E481D" w:rsidRDefault="00630B8A" w:rsidP="00630B8A">
      <w:pPr>
        <w:pStyle w:val="Asubpara"/>
      </w:pPr>
      <w:r w:rsidRPr="000E481D">
        <w:tab/>
        <w:t>(iii)</w:t>
      </w:r>
      <w:r w:rsidRPr="000E481D">
        <w:tab/>
        <w:t>the value of unredeemed and expired gaming credits held by the licensee; and</w:t>
      </w:r>
    </w:p>
    <w:p w:rsidR="00630B8A" w:rsidRPr="000E481D" w:rsidRDefault="00630B8A" w:rsidP="00E86710">
      <w:pPr>
        <w:pStyle w:val="Asubpara"/>
        <w:keepNext/>
      </w:pPr>
      <w:r w:rsidRPr="000E481D">
        <w:tab/>
        <w:t>(iv)</w:t>
      </w:r>
      <w:r w:rsidRPr="000E481D">
        <w:tab/>
        <w:t>information identifying each player the licensee holds gaming credits for; and</w:t>
      </w:r>
    </w:p>
    <w:p w:rsidR="00630B8A" w:rsidRPr="000E481D" w:rsidRDefault="00630B8A" w:rsidP="00630B8A">
      <w:pPr>
        <w:pStyle w:val="aExamHdgpar"/>
      </w:pPr>
      <w:r w:rsidRPr="000E481D">
        <w:t>Examples—cashless gaming system transactions</w:t>
      </w:r>
    </w:p>
    <w:p w:rsidR="00630B8A" w:rsidRPr="000E481D" w:rsidRDefault="00630B8A" w:rsidP="00630B8A">
      <w:pPr>
        <w:pStyle w:val="aExamINumpar"/>
        <w:ind w:left="1990" w:hanging="390"/>
      </w:pPr>
      <w:r w:rsidRPr="000E481D">
        <w:t>1</w:t>
      </w:r>
      <w:r w:rsidRPr="000E481D">
        <w:tab/>
        <w:t>credit added to a cashless gaming card</w:t>
      </w:r>
    </w:p>
    <w:p w:rsidR="00630B8A" w:rsidRPr="000E481D" w:rsidRDefault="00630B8A" w:rsidP="00630B8A">
      <w:pPr>
        <w:pStyle w:val="aExamINumpar"/>
        <w:ind w:left="1990" w:hanging="390"/>
      </w:pPr>
      <w:r w:rsidRPr="000E481D">
        <w:t>2</w:t>
      </w:r>
      <w:r w:rsidRPr="000E481D">
        <w:tab/>
        <w:t>credit debited from a cashless gaming card</w:t>
      </w:r>
    </w:p>
    <w:p w:rsidR="00630B8A" w:rsidRPr="000E481D" w:rsidRDefault="00630B8A" w:rsidP="00630B8A">
      <w:pPr>
        <w:pStyle w:val="aExamINumpar"/>
        <w:ind w:left="1990" w:hanging="390"/>
      </w:pPr>
      <w:r w:rsidRPr="000E481D">
        <w:t>3</w:t>
      </w:r>
      <w:r w:rsidRPr="000E481D">
        <w:tab/>
        <w:t>credit redeemed from a cashless gaming card</w:t>
      </w:r>
      <w:r w:rsidRPr="000E481D">
        <w:tab/>
      </w:r>
    </w:p>
    <w:p w:rsidR="00630B8A" w:rsidRPr="000E481D" w:rsidRDefault="00630B8A" w:rsidP="00630B8A">
      <w:pPr>
        <w:pStyle w:val="aNotepar"/>
      </w:pPr>
      <w:r w:rsidRPr="000E481D">
        <w:rPr>
          <w:rStyle w:val="charItals"/>
        </w:rPr>
        <w:t>Note</w:t>
      </w:r>
      <w:r w:rsidRPr="000E481D">
        <w:tab/>
        <w:t xml:space="preserve">An example is part of the regulation, is not exhaustive and may extend, but does not limit, the meaning of the provision in which it appears (see </w:t>
      </w:r>
      <w:hyperlink r:id="rId58" w:tooltip="A2001-14" w:history="1">
        <w:r w:rsidRPr="000E481D">
          <w:rPr>
            <w:rStyle w:val="charCitHyperlinkAbbrev"/>
          </w:rPr>
          <w:t>Legislation Act</w:t>
        </w:r>
      </w:hyperlink>
      <w:r w:rsidRPr="000E481D">
        <w:t>, s 126 and s 132).</w:t>
      </w:r>
    </w:p>
    <w:p w:rsidR="00630B8A" w:rsidRPr="000E481D" w:rsidRDefault="00630B8A" w:rsidP="00630B8A">
      <w:pPr>
        <w:pStyle w:val="Apara"/>
      </w:pPr>
      <w:r w:rsidRPr="000E481D">
        <w:tab/>
        <w:t>(b)</w:t>
      </w:r>
      <w:r w:rsidRPr="000E481D">
        <w:tab/>
        <w:t>give a copy of the records to the commission if asked; and</w:t>
      </w:r>
    </w:p>
    <w:p w:rsidR="00630B8A" w:rsidRPr="000E481D" w:rsidRDefault="00630B8A" w:rsidP="00630B8A">
      <w:pPr>
        <w:pStyle w:val="Apara"/>
      </w:pPr>
      <w:r w:rsidRPr="000E481D">
        <w:tab/>
        <w:t>(c)</w:t>
      </w:r>
      <w:r w:rsidRPr="000E481D">
        <w:tab/>
        <w:t>prepare a written report of the records kept for each month within 1 week after the end of the month to which the information relates; and</w:t>
      </w:r>
    </w:p>
    <w:p w:rsidR="00630B8A" w:rsidRPr="000E481D" w:rsidRDefault="00630B8A" w:rsidP="00630B8A">
      <w:pPr>
        <w:pStyle w:val="Apara"/>
      </w:pPr>
      <w:r w:rsidRPr="000E481D">
        <w:tab/>
        <w:t>(d)</w:t>
      </w:r>
      <w:r w:rsidRPr="000E481D">
        <w:tab/>
        <w:t>keep the report for at least 2 years after the report was prepared; and</w:t>
      </w:r>
    </w:p>
    <w:p w:rsidR="00630B8A" w:rsidRPr="000E481D" w:rsidRDefault="00630B8A" w:rsidP="00630B8A">
      <w:pPr>
        <w:pStyle w:val="Apara"/>
      </w:pPr>
      <w:r w:rsidRPr="000E481D">
        <w:tab/>
        <w:t>(e)</w:t>
      </w:r>
      <w:r w:rsidRPr="000E481D">
        <w:tab/>
        <w:t>give the report to the commission if asked.</w:t>
      </w:r>
    </w:p>
    <w:p w:rsidR="00630B8A" w:rsidRPr="000E481D" w:rsidRDefault="00630B8A" w:rsidP="00630B8A">
      <w:pPr>
        <w:pStyle w:val="AH5Sec"/>
      </w:pPr>
      <w:bookmarkStart w:id="49" w:name="_Toc532221227"/>
      <w:r w:rsidRPr="00B043CD">
        <w:rPr>
          <w:rStyle w:val="CharSectNo"/>
        </w:rPr>
        <w:t>33</w:t>
      </w:r>
      <w:r w:rsidRPr="000E481D">
        <w:tab/>
        <w:t>Unredeemed gaming credits—excluded people</w:t>
      </w:r>
      <w:bookmarkEnd w:id="49"/>
    </w:p>
    <w:p w:rsidR="00630B8A" w:rsidRPr="000E481D" w:rsidRDefault="00630B8A" w:rsidP="00D74C89">
      <w:pPr>
        <w:pStyle w:val="Amain"/>
        <w:keepNext/>
      </w:pPr>
      <w:r w:rsidRPr="000E481D">
        <w:tab/>
        <w:t>(1)</w:t>
      </w:r>
      <w:r w:rsidRPr="000E481D">
        <w:tab/>
        <w:t>This section applies if—</w:t>
      </w:r>
    </w:p>
    <w:p w:rsidR="00630B8A" w:rsidRPr="000E481D" w:rsidRDefault="00630B8A" w:rsidP="00630B8A">
      <w:pPr>
        <w:pStyle w:val="Apara"/>
      </w:pPr>
      <w:r w:rsidRPr="000E481D">
        <w:tab/>
        <w:t>(a)</w:t>
      </w:r>
      <w:r w:rsidRPr="000E481D">
        <w:tab/>
        <w:t xml:space="preserve">a person has gaming credits on a cashless gaming card for use at a licensee’s </w:t>
      </w:r>
      <w:r w:rsidR="00F860E4" w:rsidRPr="00AE589E">
        <w:rPr>
          <w:szCs w:val="24"/>
        </w:rPr>
        <w:t>authorised</w:t>
      </w:r>
      <w:r w:rsidR="00F860E4">
        <w:rPr>
          <w:szCs w:val="24"/>
        </w:rPr>
        <w:t xml:space="preserve"> </w:t>
      </w:r>
      <w:r w:rsidRPr="000E481D">
        <w:t>premises; and</w:t>
      </w:r>
    </w:p>
    <w:p w:rsidR="00630B8A" w:rsidRPr="000E481D" w:rsidRDefault="00630B8A" w:rsidP="00E86710">
      <w:pPr>
        <w:pStyle w:val="Apara"/>
        <w:keepLines/>
      </w:pPr>
      <w:r w:rsidRPr="000E481D">
        <w:tab/>
        <w:t>(b)</w:t>
      </w:r>
      <w:r w:rsidRPr="000E481D">
        <w:tab/>
        <w:t xml:space="preserve">the person is excluded from gambling at the premises under the </w:t>
      </w:r>
      <w:hyperlink r:id="rId59" w:tooltip="SL2002-28" w:history="1">
        <w:r w:rsidRPr="000E481D">
          <w:rPr>
            <w:rStyle w:val="charCitHyperlinkItal"/>
          </w:rPr>
          <w:t>Gambling and Racing Control (Code of Practice) Regulation 2002</w:t>
        </w:r>
      </w:hyperlink>
      <w:r w:rsidRPr="000E481D">
        <w:t>, schedule 1, division 1.2.3 (Exclusion from gambling generally).</w:t>
      </w:r>
    </w:p>
    <w:p w:rsidR="00630B8A" w:rsidRPr="000E481D" w:rsidRDefault="00630B8A" w:rsidP="00630B8A">
      <w:pPr>
        <w:pStyle w:val="Amain"/>
      </w:pPr>
      <w:r w:rsidRPr="000E481D">
        <w:lastRenderedPageBreak/>
        <w:tab/>
        <w:t>(2)</w:t>
      </w:r>
      <w:r w:rsidRPr="000E481D">
        <w:tab/>
        <w:t>The licensee must take reasonable steps to redeem the gaming credits no</w:t>
      </w:r>
      <w:r>
        <w:t>t</w:t>
      </w:r>
      <w:r w:rsidRPr="000E481D">
        <w:t xml:space="preserve"> later than 14 days after the person is excluded from gambling at the premises.</w:t>
      </w:r>
    </w:p>
    <w:p w:rsidR="00630B8A" w:rsidRPr="000E481D" w:rsidRDefault="00630B8A" w:rsidP="00630B8A">
      <w:pPr>
        <w:pStyle w:val="aExamHdgss"/>
      </w:pPr>
      <w:r w:rsidRPr="000E481D">
        <w:t>Examples—redeeming credits</w:t>
      </w:r>
    </w:p>
    <w:p w:rsidR="00630B8A" w:rsidRPr="000E481D" w:rsidRDefault="00630B8A" w:rsidP="00630B8A">
      <w:pPr>
        <w:pStyle w:val="aExamINumss"/>
        <w:ind w:left="1505" w:hanging="405"/>
      </w:pPr>
      <w:r w:rsidRPr="000E481D">
        <w:t>1</w:t>
      </w:r>
      <w:r w:rsidRPr="000E481D">
        <w:tab/>
        <w:t>posting a cheque to the person</w:t>
      </w:r>
    </w:p>
    <w:p w:rsidR="00630B8A" w:rsidRPr="000E481D" w:rsidRDefault="00630B8A" w:rsidP="00630B8A">
      <w:pPr>
        <w:pStyle w:val="aExamINumss"/>
        <w:ind w:left="1505" w:hanging="405"/>
      </w:pPr>
      <w:r w:rsidRPr="000E481D">
        <w:t>2</w:t>
      </w:r>
      <w:r w:rsidRPr="000E481D">
        <w:tab/>
        <w:t>transferring funds to the person by electronic fund transfer</w:t>
      </w:r>
    </w:p>
    <w:p w:rsidR="00630B8A" w:rsidRPr="000E481D" w:rsidRDefault="00630B8A" w:rsidP="00630B8A">
      <w:pPr>
        <w:pStyle w:val="aExamINumss"/>
        <w:keepNext/>
        <w:ind w:left="1505" w:hanging="405"/>
      </w:pPr>
      <w:r w:rsidRPr="000E481D">
        <w:t>3</w:t>
      </w:r>
      <w:r w:rsidRPr="000E481D">
        <w:tab/>
        <w:t xml:space="preserve">giving cash to the person at an agreed place outside the </w:t>
      </w:r>
      <w:r w:rsidR="00F860E4" w:rsidRPr="00F860E4">
        <w:t>authorised</w:t>
      </w:r>
      <w:r w:rsidR="00F860E4">
        <w:rPr>
          <w:sz w:val="24"/>
          <w:szCs w:val="24"/>
        </w:rPr>
        <w:t xml:space="preserve"> </w:t>
      </w:r>
      <w:r w:rsidRPr="000E481D">
        <w:t>premises</w:t>
      </w:r>
    </w:p>
    <w:p w:rsidR="00630B8A" w:rsidRPr="000E481D" w:rsidRDefault="00630B8A" w:rsidP="00630B8A">
      <w:pPr>
        <w:pStyle w:val="aNote"/>
      </w:pPr>
      <w:r w:rsidRPr="000E481D">
        <w:rPr>
          <w:rStyle w:val="charItals"/>
        </w:rPr>
        <w:t>Note</w:t>
      </w:r>
      <w:r w:rsidRPr="000E481D">
        <w:tab/>
        <w:t xml:space="preserve">An example is part of the regulation, is not exhaustive and may extend, but does not limit, the meaning of the provision in which it appears (see </w:t>
      </w:r>
      <w:hyperlink r:id="rId60" w:tooltip="A2001-14" w:history="1">
        <w:r w:rsidRPr="000E481D">
          <w:rPr>
            <w:rStyle w:val="charCitHyperlinkAbbrev"/>
          </w:rPr>
          <w:t>Legislation Act</w:t>
        </w:r>
      </w:hyperlink>
      <w:r w:rsidRPr="000E481D">
        <w:t>, s 126 and s 132).</w:t>
      </w:r>
    </w:p>
    <w:p w:rsidR="00630B8A" w:rsidRPr="000E481D" w:rsidRDefault="00630B8A" w:rsidP="00630B8A">
      <w:pPr>
        <w:pStyle w:val="AH5Sec"/>
      </w:pPr>
      <w:bookmarkStart w:id="50" w:name="_Toc532221228"/>
      <w:r w:rsidRPr="00B043CD">
        <w:rPr>
          <w:rStyle w:val="CharSectNo"/>
        </w:rPr>
        <w:t>34</w:t>
      </w:r>
      <w:r w:rsidRPr="000E481D">
        <w:tab/>
        <w:t>Unredeemed gaming credits—expiry after 1 year</w:t>
      </w:r>
      <w:bookmarkEnd w:id="50"/>
    </w:p>
    <w:p w:rsidR="00630B8A" w:rsidRPr="000E481D" w:rsidRDefault="00630B8A" w:rsidP="00630B8A">
      <w:pPr>
        <w:pStyle w:val="Amain"/>
      </w:pPr>
      <w:r w:rsidRPr="000E481D">
        <w:tab/>
        <w:t>(1)</w:t>
      </w:r>
      <w:r w:rsidRPr="000E481D">
        <w:tab/>
        <w:t>This section applies if there are gaming credits on a player’s cashless gaming card 1 year after the day the player last used the card.</w:t>
      </w:r>
    </w:p>
    <w:p w:rsidR="00630B8A" w:rsidRPr="000E481D" w:rsidRDefault="00630B8A" w:rsidP="00630B8A">
      <w:pPr>
        <w:pStyle w:val="Amain"/>
      </w:pPr>
      <w:r w:rsidRPr="000E481D">
        <w:tab/>
        <w:t>(2)</w:t>
      </w:r>
      <w:r w:rsidRPr="000E481D">
        <w:tab/>
        <w:t>The gaming credits expire and can no longer be redeemed.</w:t>
      </w:r>
    </w:p>
    <w:p w:rsidR="000446F2" w:rsidRPr="009545D2" w:rsidRDefault="000446F2" w:rsidP="000446F2">
      <w:pPr>
        <w:pStyle w:val="Amain"/>
      </w:pPr>
      <w:r w:rsidRPr="009545D2">
        <w:rPr>
          <w:color w:val="000000"/>
        </w:rPr>
        <w:tab/>
        <w:t>(3)</w:t>
      </w:r>
      <w:r w:rsidRPr="009545D2">
        <w:rPr>
          <w:color w:val="000000"/>
        </w:rPr>
        <w:tab/>
        <w:t>The licensee holding the gaming credits must distribute funds equivalent to the expired credits to patrons of the licensee’s authorised premises—</w:t>
      </w:r>
    </w:p>
    <w:p w:rsidR="000446F2" w:rsidRPr="009545D2" w:rsidRDefault="000446F2" w:rsidP="000446F2">
      <w:pPr>
        <w:pStyle w:val="Apara"/>
      </w:pPr>
      <w:r w:rsidRPr="009545D2">
        <w:rPr>
          <w:color w:val="000000"/>
        </w:rPr>
        <w:tab/>
        <w:t>(a)</w:t>
      </w:r>
      <w:r w:rsidRPr="009545D2">
        <w:rPr>
          <w:color w:val="000000"/>
        </w:rPr>
        <w:tab/>
        <w:t>by adding the funds to an existing linked-jackpot arrangement or to a stand-alone progressive jackpot at the premises where the gaming credits were accumulated; or</w:t>
      </w:r>
    </w:p>
    <w:p w:rsidR="000446F2" w:rsidRPr="009545D2" w:rsidRDefault="000446F2" w:rsidP="000446F2">
      <w:pPr>
        <w:pStyle w:val="Apara"/>
      </w:pPr>
      <w:r w:rsidRPr="009545D2">
        <w:tab/>
        <w:t>(b)</w:t>
      </w:r>
      <w:r w:rsidRPr="009545D2">
        <w:tab/>
        <w:t xml:space="preserve">by using a lottery conducted under the </w:t>
      </w:r>
      <w:hyperlink r:id="rId61" w:tooltip="A1964-13" w:history="1">
        <w:r w:rsidRPr="009545D2">
          <w:rPr>
            <w:rStyle w:val="charCitHyperlinkItal"/>
          </w:rPr>
          <w:t>Lotteries Act 1964</w:t>
        </w:r>
      </w:hyperlink>
      <w:r w:rsidRPr="009545D2">
        <w:rPr>
          <w:rStyle w:val="charItals"/>
        </w:rPr>
        <w:t xml:space="preserve"> </w:t>
      </w:r>
      <w:r w:rsidRPr="009545D2">
        <w:t>at the premises where the gaming credits were accumulated; or</w:t>
      </w:r>
    </w:p>
    <w:p w:rsidR="000446F2" w:rsidRPr="009545D2" w:rsidRDefault="000446F2" w:rsidP="000446F2">
      <w:pPr>
        <w:pStyle w:val="Apara"/>
      </w:pPr>
      <w:r w:rsidRPr="009545D2">
        <w:tab/>
        <w:t>(c)</w:t>
      </w:r>
      <w:r w:rsidRPr="009545D2">
        <w:tab/>
        <w:t>in a way approved, in writing, by the commission.</w:t>
      </w:r>
    </w:p>
    <w:p w:rsidR="00C3435E" w:rsidRPr="009545D2" w:rsidRDefault="00C3435E" w:rsidP="00C3435E">
      <w:pPr>
        <w:pStyle w:val="Amain"/>
      </w:pPr>
      <w:r w:rsidRPr="009545D2">
        <w:rPr>
          <w:color w:val="000000"/>
        </w:rPr>
        <w:tab/>
        <w:t>(4)</w:t>
      </w:r>
      <w:r w:rsidRPr="009545D2">
        <w:rPr>
          <w:color w:val="000000"/>
        </w:rPr>
        <w:tab/>
        <w:t>If funds equivalent to the expired gaming credits are to be distributed under subsection (3) (c), the licensee must apply to the commission for approval within 12 months after the day the credits expire.</w:t>
      </w:r>
    </w:p>
    <w:p w:rsidR="00C3435E" w:rsidRPr="009545D2" w:rsidRDefault="00C3435E" w:rsidP="00C3435E">
      <w:pPr>
        <w:pStyle w:val="Amain"/>
      </w:pPr>
      <w:r w:rsidRPr="009545D2">
        <w:tab/>
        <w:t>(5)</w:t>
      </w:r>
      <w:r w:rsidRPr="009545D2">
        <w:tab/>
        <w:t xml:space="preserve">If funds equivalent to the expired credits have not been distributed under subsection (3) before the end of the financial year following the financial year in which the gaming credits expire, the funds are forfeited to the gambling harm prevention and mitigation fund. </w:t>
      </w:r>
    </w:p>
    <w:p w:rsidR="00C3435E" w:rsidRPr="009545D2" w:rsidRDefault="00C3435E" w:rsidP="00C3435E">
      <w:pPr>
        <w:pStyle w:val="Amain"/>
      </w:pPr>
      <w:r w:rsidRPr="009545D2">
        <w:lastRenderedPageBreak/>
        <w:tab/>
        <w:t>(6)</w:t>
      </w:r>
      <w:r w:rsidRPr="009545D2">
        <w:tab/>
        <w:t>In this section:</w:t>
      </w:r>
    </w:p>
    <w:p w:rsidR="00C3435E" w:rsidRPr="009545D2" w:rsidRDefault="00C3435E" w:rsidP="00C3435E">
      <w:pPr>
        <w:pStyle w:val="aDef"/>
      </w:pPr>
      <w:r w:rsidRPr="009545D2">
        <w:rPr>
          <w:rStyle w:val="charBoldItals"/>
        </w:rPr>
        <w:t>stand-alone progressive jackpot</w:t>
      </w:r>
      <w:r w:rsidRPr="009545D2">
        <w:t xml:space="preserve"> means a stand-alone progressive jackpot function integrated with a gaming machine that contributes a percentage of the gaming machine’s turnover to the stand-alone progressive jackpot’s pool.</w:t>
      </w:r>
    </w:p>
    <w:p w:rsidR="00C3435E" w:rsidRPr="009545D2" w:rsidRDefault="00C3435E" w:rsidP="00C3435E">
      <w:pPr>
        <w:pStyle w:val="aExamHdgss"/>
        <w:rPr>
          <w:color w:val="000000"/>
        </w:rPr>
      </w:pPr>
      <w:r w:rsidRPr="009545D2">
        <w:rPr>
          <w:color w:val="000000"/>
        </w:rPr>
        <w:t>Example</w:t>
      </w:r>
    </w:p>
    <w:p w:rsidR="00C3435E" w:rsidRPr="009545D2" w:rsidRDefault="00C3435E" w:rsidP="00C3435E">
      <w:pPr>
        <w:pStyle w:val="aExamss"/>
        <w:rPr>
          <w:color w:val="000000"/>
        </w:rPr>
      </w:pPr>
      <w:r w:rsidRPr="009545D2">
        <w:rPr>
          <w:color w:val="000000"/>
        </w:rPr>
        <w:t>An unknown patron’s gaming credits for Club Z e</w:t>
      </w:r>
      <w:r w:rsidR="00405D2A">
        <w:rPr>
          <w:color w:val="000000"/>
        </w:rPr>
        <w:t>xpire on 16 December 2017. Club </w:t>
      </w:r>
      <w:r w:rsidRPr="009545D2">
        <w:rPr>
          <w:color w:val="000000"/>
        </w:rPr>
        <w:t>Z does not distribute funds equivalent to the expire</w:t>
      </w:r>
      <w:r w:rsidR="00405D2A">
        <w:rPr>
          <w:color w:val="000000"/>
        </w:rPr>
        <w:t>d gaming credits before 30 June </w:t>
      </w:r>
      <w:r w:rsidRPr="009545D2">
        <w:rPr>
          <w:color w:val="000000"/>
        </w:rPr>
        <w:t>2019. Because the funds are not distributed in the required time they are forfeited to the gambling harm prevention and mitigation fund.</w:t>
      </w:r>
    </w:p>
    <w:p w:rsidR="00FF4976" w:rsidRPr="009545D2" w:rsidRDefault="00FF4976" w:rsidP="00FF4976">
      <w:pPr>
        <w:pStyle w:val="AH5Sec"/>
      </w:pPr>
      <w:bookmarkStart w:id="51" w:name="_Toc532221229"/>
      <w:r w:rsidRPr="00B043CD">
        <w:rPr>
          <w:rStyle w:val="CharSectNo"/>
        </w:rPr>
        <w:t>35</w:t>
      </w:r>
      <w:r w:rsidRPr="009545D2">
        <w:rPr>
          <w:color w:val="000000"/>
        </w:rPr>
        <w:tab/>
      </w:r>
      <w:r w:rsidRPr="009545D2">
        <w:t>Expired gaming credits in annual report of clubs—Act, s 54 (e)</w:t>
      </w:r>
      <w:bookmarkEnd w:id="51"/>
    </w:p>
    <w:p w:rsidR="00FF4976" w:rsidRPr="009545D2" w:rsidRDefault="00FF4976" w:rsidP="00FF4976">
      <w:pPr>
        <w:pStyle w:val="Amainreturn"/>
        <w:rPr>
          <w:color w:val="000000"/>
        </w:rPr>
      </w:pPr>
      <w:r w:rsidRPr="009545D2">
        <w:rPr>
          <w:color w:val="000000"/>
        </w:rPr>
        <w:t xml:space="preserve">A club that operates a cashless gaming system must include the following information in the club’s annual report under the </w:t>
      </w:r>
      <w:hyperlink r:id="rId62" w:tooltip="Gaming Machine Act 2004" w:history="1">
        <w:r w:rsidRPr="009545D2">
          <w:rPr>
            <w:rStyle w:val="charCitHyperlinkAbbrev"/>
          </w:rPr>
          <w:t>Act</w:t>
        </w:r>
      </w:hyperlink>
      <w:r w:rsidRPr="009545D2">
        <w:rPr>
          <w:color w:val="000000"/>
        </w:rPr>
        <w:t>, section 54 to the commission for a financial year:</w:t>
      </w:r>
    </w:p>
    <w:p w:rsidR="00FF4976" w:rsidRPr="009545D2" w:rsidRDefault="00FF4976" w:rsidP="00FF4976">
      <w:pPr>
        <w:pStyle w:val="Apara"/>
      </w:pPr>
      <w:r w:rsidRPr="009545D2">
        <w:rPr>
          <w:color w:val="000000"/>
        </w:rPr>
        <w:tab/>
        <w:t>(a)</w:t>
      </w:r>
      <w:r w:rsidRPr="009545D2">
        <w:rPr>
          <w:color w:val="000000"/>
        </w:rPr>
        <w:tab/>
        <w:t>the value of expired gaming credits (if any) the club held in each month of that year;</w:t>
      </w:r>
    </w:p>
    <w:p w:rsidR="00FF4976" w:rsidRPr="009545D2" w:rsidRDefault="00FF4976" w:rsidP="00FF4976">
      <w:pPr>
        <w:pStyle w:val="Apara"/>
      </w:pPr>
      <w:r w:rsidRPr="009545D2">
        <w:tab/>
        <w:t>(b)</w:t>
      </w:r>
      <w:r w:rsidRPr="009545D2">
        <w:tab/>
        <w:t>the amount of funds (if any) the club</w:t>
      </w:r>
      <w:r>
        <w:t xml:space="preserve"> distributed under section </w:t>
      </w:r>
      <w:r w:rsidRPr="009545D2">
        <w:t>34 to patrons in each month of that year and details of the distribution.</w:t>
      </w:r>
    </w:p>
    <w:p w:rsidR="00FF4976" w:rsidRPr="009545D2" w:rsidRDefault="00FF4976" w:rsidP="00FF4976">
      <w:pPr>
        <w:pStyle w:val="aExamHdgss"/>
        <w:rPr>
          <w:color w:val="000000"/>
        </w:rPr>
      </w:pPr>
      <w:r w:rsidRPr="009545D2">
        <w:rPr>
          <w:color w:val="000000"/>
        </w:rPr>
        <w:t>Example—distribution details</w:t>
      </w:r>
    </w:p>
    <w:p w:rsidR="00FF4976" w:rsidRPr="009545D2" w:rsidRDefault="00FF4976" w:rsidP="00FF4976">
      <w:pPr>
        <w:pStyle w:val="aExamss"/>
        <w:rPr>
          <w:color w:val="000000"/>
        </w:rPr>
      </w:pPr>
      <w:r w:rsidRPr="009545D2">
        <w:rPr>
          <w:color w:val="000000"/>
        </w:rPr>
        <w:t>$200 was added to the approved single-user linked-jackpot arrangement number 1234Z for Club Z on 12 February 2019.</w:t>
      </w:r>
    </w:p>
    <w:p w:rsidR="00630B8A" w:rsidRPr="000E481D" w:rsidRDefault="00630B8A" w:rsidP="00630B8A">
      <w:pPr>
        <w:pStyle w:val="AH5Sec"/>
      </w:pPr>
      <w:bookmarkStart w:id="52" w:name="_Toc532221230"/>
      <w:r w:rsidRPr="00B043CD">
        <w:rPr>
          <w:rStyle w:val="CharSectNo"/>
        </w:rPr>
        <w:t>36</w:t>
      </w:r>
      <w:r w:rsidRPr="000E481D">
        <w:tab/>
        <w:t>Restricted use of player account cards</w:t>
      </w:r>
      <w:bookmarkEnd w:id="52"/>
    </w:p>
    <w:p w:rsidR="00630B8A" w:rsidRPr="000E481D" w:rsidRDefault="00630B8A" w:rsidP="00630B8A">
      <w:pPr>
        <w:pStyle w:val="Amain"/>
      </w:pPr>
      <w:r w:rsidRPr="000E481D">
        <w:tab/>
        <w:t>(1)</w:t>
      </w:r>
      <w:r w:rsidRPr="000E481D">
        <w:tab/>
        <w:t>A licensee commits an offence if—</w:t>
      </w:r>
    </w:p>
    <w:p w:rsidR="00630B8A" w:rsidRPr="000E481D" w:rsidRDefault="00630B8A" w:rsidP="00630B8A">
      <w:pPr>
        <w:pStyle w:val="Apara"/>
      </w:pPr>
      <w:r w:rsidRPr="000E481D">
        <w:tab/>
        <w:t>(a)</w:t>
      </w:r>
      <w:r w:rsidRPr="000E481D">
        <w:tab/>
        <w:t xml:space="preserve">the licensee allows a player account card to be used in a cashless gaming system on </w:t>
      </w:r>
      <w:r w:rsidR="00F860E4" w:rsidRPr="00AE589E">
        <w:rPr>
          <w:szCs w:val="24"/>
        </w:rPr>
        <w:t>authorised</w:t>
      </w:r>
      <w:r w:rsidR="00F860E4">
        <w:rPr>
          <w:szCs w:val="24"/>
        </w:rPr>
        <w:t xml:space="preserve"> </w:t>
      </w:r>
      <w:r w:rsidRPr="000E481D">
        <w:t>premises operated by the licensee; and</w:t>
      </w:r>
    </w:p>
    <w:p w:rsidR="00630B8A" w:rsidRPr="000E481D" w:rsidRDefault="00630B8A" w:rsidP="003746B6">
      <w:pPr>
        <w:pStyle w:val="Apara"/>
        <w:keepNext/>
      </w:pPr>
      <w:r w:rsidRPr="000E481D">
        <w:lastRenderedPageBreak/>
        <w:tab/>
        <w:t>(b)</w:t>
      </w:r>
      <w:r w:rsidRPr="000E481D">
        <w:tab/>
        <w:t>the card was not issued by the licensee—</w:t>
      </w:r>
    </w:p>
    <w:p w:rsidR="00630B8A" w:rsidRPr="000E481D" w:rsidRDefault="00630B8A" w:rsidP="00630B8A">
      <w:pPr>
        <w:pStyle w:val="Asubpara"/>
      </w:pPr>
      <w:r w:rsidRPr="000E481D">
        <w:tab/>
        <w:t>(i)</w:t>
      </w:r>
      <w:r w:rsidRPr="000E481D">
        <w:tab/>
        <w:t xml:space="preserve">at the </w:t>
      </w:r>
      <w:r w:rsidR="00F860E4" w:rsidRPr="00AE589E">
        <w:rPr>
          <w:szCs w:val="24"/>
        </w:rPr>
        <w:t>authorised</w:t>
      </w:r>
      <w:r w:rsidR="00F860E4">
        <w:rPr>
          <w:szCs w:val="24"/>
        </w:rPr>
        <w:t xml:space="preserve"> </w:t>
      </w:r>
      <w:r w:rsidRPr="000E481D">
        <w:t>premises; or</w:t>
      </w:r>
    </w:p>
    <w:p w:rsidR="00630B8A" w:rsidRPr="000E481D" w:rsidRDefault="00630B8A" w:rsidP="00630B8A">
      <w:pPr>
        <w:pStyle w:val="Asubpara"/>
      </w:pPr>
      <w:r w:rsidRPr="000E481D">
        <w:tab/>
        <w:t>(ii)</w:t>
      </w:r>
      <w:r w:rsidRPr="000E481D">
        <w:tab/>
        <w:t xml:space="preserve">at other </w:t>
      </w:r>
      <w:r w:rsidR="00F860E4" w:rsidRPr="00AE589E">
        <w:rPr>
          <w:szCs w:val="24"/>
        </w:rPr>
        <w:t>authorised</w:t>
      </w:r>
      <w:r w:rsidR="00F860E4">
        <w:rPr>
          <w:szCs w:val="24"/>
        </w:rPr>
        <w:t xml:space="preserve"> </w:t>
      </w:r>
      <w:r w:rsidRPr="000E481D">
        <w:t>premises operated by the licensee.</w:t>
      </w:r>
    </w:p>
    <w:p w:rsidR="00630B8A" w:rsidRPr="000E481D" w:rsidRDefault="00630B8A" w:rsidP="00630B8A">
      <w:pPr>
        <w:pStyle w:val="Penalty"/>
      </w:pPr>
      <w:r w:rsidRPr="000E481D">
        <w:t>Maximum penalty:  10 penalty units.</w:t>
      </w:r>
    </w:p>
    <w:p w:rsidR="00630B8A" w:rsidRPr="000E481D" w:rsidRDefault="00630B8A" w:rsidP="00630B8A">
      <w:pPr>
        <w:pStyle w:val="Amain"/>
      </w:pPr>
      <w:r w:rsidRPr="000E481D">
        <w:tab/>
        <w:t>(2)</w:t>
      </w:r>
      <w:r w:rsidRPr="000E481D">
        <w:tab/>
        <w:t>An offence against this section is a strict liability offence.</w:t>
      </w:r>
    </w:p>
    <w:p w:rsidR="00630B8A" w:rsidRPr="000E481D" w:rsidRDefault="00630B8A" w:rsidP="00630B8A">
      <w:pPr>
        <w:pStyle w:val="AH5Sec"/>
      </w:pPr>
      <w:bookmarkStart w:id="53" w:name="_Toc532221231"/>
      <w:r w:rsidRPr="00B043CD">
        <w:rPr>
          <w:rStyle w:val="CharSectNo"/>
        </w:rPr>
        <w:t>37</w:t>
      </w:r>
      <w:r w:rsidRPr="000E481D">
        <w:tab/>
        <w:t>Restricted use of cashless gaming cards other than player account cards</w:t>
      </w:r>
      <w:bookmarkEnd w:id="53"/>
    </w:p>
    <w:p w:rsidR="00630B8A" w:rsidRPr="000E481D" w:rsidRDefault="00630B8A" w:rsidP="00D74C89">
      <w:pPr>
        <w:pStyle w:val="Amain"/>
        <w:keepNext/>
      </w:pPr>
      <w:r w:rsidRPr="000E481D">
        <w:tab/>
        <w:t>(1)</w:t>
      </w:r>
      <w:r w:rsidRPr="000E481D">
        <w:tab/>
        <w:t>A licensee commits an offence if—</w:t>
      </w:r>
    </w:p>
    <w:p w:rsidR="00630B8A" w:rsidRPr="000E481D" w:rsidRDefault="00630B8A" w:rsidP="00630B8A">
      <w:pPr>
        <w:pStyle w:val="Apara"/>
      </w:pPr>
      <w:r w:rsidRPr="000E481D">
        <w:tab/>
        <w:t>(a)</w:t>
      </w:r>
      <w:r w:rsidRPr="000E481D">
        <w:tab/>
        <w:t xml:space="preserve">the licensee allows a cashless gaming card (other than a player account card) to be used in a cashless gaming system on </w:t>
      </w:r>
      <w:r w:rsidR="00BE1251" w:rsidRPr="00AE589E">
        <w:rPr>
          <w:szCs w:val="24"/>
        </w:rPr>
        <w:t>authorised</w:t>
      </w:r>
      <w:r w:rsidR="00BE1251">
        <w:rPr>
          <w:szCs w:val="24"/>
        </w:rPr>
        <w:t xml:space="preserve"> </w:t>
      </w:r>
      <w:r w:rsidRPr="000E481D">
        <w:t>premises operated by the licensee; and</w:t>
      </w:r>
    </w:p>
    <w:p w:rsidR="00630B8A" w:rsidRPr="000E481D" w:rsidRDefault="00630B8A" w:rsidP="006C347E">
      <w:pPr>
        <w:pStyle w:val="Apara"/>
        <w:keepNext/>
      </w:pPr>
      <w:r w:rsidRPr="000E481D">
        <w:tab/>
        <w:t>(b)</w:t>
      </w:r>
      <w:r w:rsidRPr="000E481D">
        <w:tab/>
        <w:t>the card was not issued by the licensee at the licensee’s premises.</w:t>
      </w:r>
    </w:p>
    <w:p w:rsidR="00630B8A" w:rsidRPr="000E481D" w:rsidRDefault="00630B8A" w:rsidP="00630B8A">
      <w:pPr>
        <w:pStyle w:val="Penalty"/>
      </w:pPr>
      <w:r w:rsidRPr="000E481D">
        <w:t>Maximum penalty:  10 penalty units.</w:t>
      </w:r>
    </w:p>
    <w:p w:rsidR="00630B8A" w:rsidRPr="000E481D" w:rsidRDefault="00630B8A" w:rsidP="00630B8A">
      <w:pPr>
        <w:pStyle w:val="Amain"/>
      </w:pPr>
      <w:r w:rsidRPr="000E481D">
        <w:tab/>
        <w:t>(2)</w:t>
      </w:r>
      <w:r w:rsidRPr="000E481D">
        <w:tab/>
        <w:t>An offence against this section is a strict liability offence.</w:t>
      </w:r>
    </w:p>
    <w:p w:rsidR="009720B3" w:rsidRDefault="009720B3">
      <w:pPr>
        <w:pStyle w:val="PageBreak"/>
      </w:pPr>
      <w:r>
        <w:br w:type="page"/>
      </w:r>
    </w:p>
    <w:p w:rsidR="009720B3" w:rsidRPr="00B043CD" w:rsidRDefault="009720B3">
      <w:pPr>
        <w:pStyle w:val="AH2Part"/>
      </w:pPr>
      <w:bookmarkStart w:id="54" w:name="_Toc532221232"/>
      <w:r w:rsidRPr="00B043CD">
        <w:rPr>
          <w:rStyle w:val="CharPartNo"/>
        </w:rPr>
        <w:lastRenderedPageBreak/>
        <w:t>Part 8</w:t>
      </w:r>
      <w:r>
        <w:tab/>
      </w:r>
      <w:r w:rsidRPr="00B043CD">
        <w:rPr>
          <w:rStyle w:val="CharPartText"/>
        </w:rPr>
        <w:t>Linked-jackpot arrangements</w:t>
      </w:r>
      <w:bookmarkEnd w:id="54"/>
    </w:p>
    <w:p w:rsidR="009720B3" w:rsidRPr="00B043CD" w:rsidRDefault="009720B3">
      <w:pPr>
        <w:pStyle w:val="AH3Div"/>
      </w:pPr>
      <w:bookmarkStart w:id="55" w:name="_Toc532221233"/>
      <w:r w:rsidRPr="00B043CD">
        <w:rPr>
          <w:rStyle w:val="CharDivNo"/>
        </w:rPr>
        <w:t>Division 8.1</w:t>
      </w:r>
      <w:r>
        <w:tab/>
      </w:r>
      <w:r w:rsidRPr="00B043CD">
        <w:rPr>
          <w:rStyle w:val="CharDivText"/>
        </w:rPr>
        <w:t>Linked-jackpot arrangements generally</w:t>
      </w:r>
      <w:bookmarkEnd w:id="55"/>
    </w:p>
    <w:p w:rsidR="009720B3" w:rsidRDefault="009720B3">
      <w:pPr>
        <w:pStyle w:val="AH5Sec"/>
      </w:pPr>
      <w:bookmarkStart w:id="56" w:name="_Toc532221234"/>
      <w:r w:rsidRPr="00B043CD">
        <w:rPr>
          <w:rStyle w:val="CharSectNo"/>
        </w:rPr>
        <w:t>39</w:t>
      </w:r>
      <w:r>
        <w:tab/>
        <w:t>Application—div 8.1</w:t>
      </w:r>
      <w:bookmarkEnd w:id="56"/>
    </w:p>
    <w:p w:rsidR="009720B3" w:rsidRDefault="009720B3">
      <w:pPr>
        <w:pStyle w:val="Amainreturn"/>
      </w:pPr>
      <w:r>
        <w:t xml:space="preserve">This division applies in relation to a linked-jackpot arrangement under a single-user </w:t>
      </w:r>
      <w:r w:rsidR="00D77726" w:rsidRPr="00AE589E">
        <w:rPr>
          <w:szCs w:val="24"/>
        </w:rPr>
        <w:t>approval</w:t>
      </w:r>
      <w:r w:rsidR="00D77726">
        <w:rPr>
          <w:szCs w:val="24"/>
        </w:rPr>
        <w:t xml:space="preserve"> </w:t>
      </w:r>
      <w:r>
        <w:t>or multi-user permit.</w:t>
      </w:r>
    </w:p>
    <w:p w:rsidR="009720B3" w:rsidRDefault="009720B3">
      <w:pPr>
        <w:pStyle w:val="AH5Sec"/>
      </w:pPr>
      <w:bookmarkStart w:id="57" w:name="_Toc532221235"/>
      <w:r w:rsidRPr="00B043CD">
        <w:rPr>
          <w:rStyle w:val="CharSectNo"/>
        </w:rPr>
        <w:t>40</w:t>
      </w:r>
      <w:r>
        <w:tab/>
        <w:t>Definitions—pt 8</w:t>
      </w:r>
      <w:bookmarkEnd w:id="57"/>
    </w:p>
    <w:p w:rsidR="009720B3" w:rsidRDefault="009720B3">
      <w:pPr>
        <w:pStyle w:val="Amainreturn"/>
        <w:keepNext/>
      </w:pPr>
      <w:r>
        <w:t>In this part:</w:t>
      </w:r>
    </w:p>
    <w:p w:rsidR="009720B3" w:rsidRDefault="009720B3">
      <w:pPr>
        <w:pStyle w:val="aDef"/>
      </w:pPr>
      <w:r>
        <w:rPr>
          <w:rStyle w:val="charBoldItals"/>
        </w:rPr>
        <w:t>link equipment</w:t>
      </w:r>
      <w:r>
        <w:t xml:space="preserve">—equipment is </w:t>
      </w:r>
      <w:r>
        <w:rPr>
          <w:rStyle w:val="charBoldItals"/>
        </w:rPr>
        <w:t>link equipment</w:t>
      </w:r>
      <w:r>
        <w:t xml:space="preserve"> if the equipment allows a gaming machine to access a linked-jackpot arrangement.</w:t>
      </w:r>
    </w:p>
    <w:p w:rsidR="00EF1222" w:rsidRPr="00AE589E" w:rsidRDefault="00EF1222" w:rsidP="00EF1222">
      <w:pPr>
        <w:pStyle w:val="aDef"/>
      </w:pPr>
      <w:r w:rsidRPr="00AE589E">
        <w:rPr>
          <w:rStyle w:val="charBoldItals"/>
        </w:rPr>
        <w:t xml:space="preserve">single-user approval </w:t>
      </w:r>
      <w:r w:rsidRPr="00AE589E">
        <w:t xml:space="preserve">means an approval under the </w:t>
      </w:r>
      <w:hyperlink r:id="rId63" w:tooltip="A2004-34" w:history="1">
        <w:r w:rsidRPr="00AE589E">
          <w:rPr>
            <w:rStyle w:val="charCitHyperlinkAbbrev"/>
          </w:rPr>
          <w:t>Act</w:t>
        </w:r>
      </w:hyperlink>
      <w:r w:rsidRPr="00AE589E">
        <w:t>, section 134.</w:t>
      </w:r>
    </w:p>
    <w:p w:rsidR="009720B3" w:rsidRDefault="009720B3">
      <w:pPr>
        <w:pStyle w:val="AH5Sec"/>
      </w:pPr>
      <w:bookmarkStart w:id="58" w:name="_Toc532221236"/>
      <w:r w:rsidRPr="00B043CD">
        <w:rPr>
          <w:rStyle w:val="CharSectNo"/>
        </w:rPr>
        <w:t>41</w:t>
      </w:r>
      <w:r>
        <w:tab/>
        <w:t>Arrangement to operate under pt 8—Act, s 134 (3) (b) and s 135 (3) (d)</w:t>
      </w:r>
      <w:bookmarkEnd w:id="58"/>
    </w:p>
    <w:p w:rsidR="009720B3" w:rsidRDefault="009720B3">
      <w:pPr>
        <w:pStyle w:val="Amainreturn"/>
      </w:pPr>
      <w:r>
        <w:t>A linked-jackpot arrangement must operate in accordance with this part.</w:t>
      </w:r>
    </w:p>
    <w:p w:rsidR="009720B3" w:rsidRDefault="009720B3">
      <w:pPr>
        <w:pStyle w:val="AH5Sec"/>
      </w:pPr>
      <w:bookmarkStart w:id="59" w:name="_Toc532221237"/>
      <w:r w:rsidRPr="00B043CD">
        <w:rPr>
          <w:rStyle w:val="CharSectNo"/>
        </w:rPr>
        <w:t>42</w:t>
      </w:r>
      <w:r>
        <w:tab/>
        <w:t>Percentage of turnover set aside and reset value</w:t>
      </w:r>
      <w:bookmarkEnd w:id="59"/>
    </w:p>
    <w:p w:rsidR="009720B3" w:rsidRDefault="009720B3">
      <w:pPr>
        <w:pStyle w:val="Amain"/>
      </w:pPr>
      <w:r>
        <w:tab/>
        <w:t>(1)</w:t>
      </w:r>
      <w:r>
        <w:tab/>
        <w:t xml:space="preserve">The application for </w:t>
      </w:r>
      <w:r w:rsidR="00D77726" w:rsidRPr="00AE589E">
        <w:rPr>
          <w:szCs w:val="24"/>
        </w:rPr>
        <w:t>approval</w:t>
      </w:r>
      <w:r w:rsidR="00D77726">
        <w:rPr>
          <w:szCs w:val="24"/>
        </w:rPr>
        <w:t xml:space="preserve"> </w:t>
      </w:r>
      <w:r>
        <w:t>to operate a linked-jackpot arrangement must contain a statement of—</w:t>
      </w:r>
    </w:p>
    <w:p w:rsidR="009720B3" w:rsidRDefault="009720B3">
      <w:pPr>
        <w:pStyle w:val="Apara"/>
      </w:pPr>
      <w:r>
        <w:tab/>
        <w:t>(a)</w:t>
      </w:r>
      <w:r>
        <w:tab/>
        <w:t>the percentage of the turnover of each gaming machine in the arrangement to be set aside for payment of linked jackpots under the arrangement; and</w:t>
      </w:r>
    </w:p>
    <w:p w:rsidR="009720B3" w:rsidRDefault="009720B3">
      <w:pPr>
        <w:pStyle w:val="Apara"/>
      </w:pPr>
      <w:r>
        <w:tab/>
        <w:t>(b)</w:t>
      </w:r>
      <w:r>
        <w:tab/>
        <w:t>the reset value for each gaming machine.</w:t>
      </w:r>
    </w:p>
    <w:p w:rsidR="009720B3" w:rsidRDefault="009720B3" w:rsidP="0056525D">
      <w:pPr>
        <w:pStyle w:val="Amain"/>
        <w:keepLines/>
      </w:pPr>
      <w:r>
        <w:tab/>
        <w:t>(2)</w:t>
      </w:r>
      <w:r>
        <w:tab/>
        <w:t xml:space="preserve">If the </w:t>
      </w:r>
      <w:r w:rsidR="00D77726" w:rsidRPr="00AE589E">
        <w:rPr>
          <w:szCs w:val="24"/>
        </w:rPr>
        <w:t>approval</w:t>
      </w:r>
      <w:r w:rsidR="00D77726">
        <w:rPr>
          <w:szCs w:val="24"/>
        </w:rPr>
        <w:t xml:space="preserve"> </w:t>
      </w:r>
      <w:r>
        <w:t>is given by the commission, each gaming machine that is part of the linked-jackpot arrangement must set aside the stated percentage of the stake for the payment of linked jackpots.</w:t>
      </w:r>
    </w:p>
    <w:p w:rsidR="009720B3" w:rsidRDefault="009720B3">
      <w:pPr>
        <w:pStyle w:val="AH5Sec"/>
      </w:pPr>
      <w:bookmarkStart w:id="60" w:name="_Toc532221238"/>
      <w:r w:rsidRPr="00B043CD">
        <w:rPr>
          <w:rStyle w:val="CharSectNo"/>
        </w:rPr>
        <w:lastRenderedPageBreak/>
        <w:t>43</w:t>
      </w:r>
      <w:r>
        <w:tab/>
        <w:t>Linked-jackpot contributions</w:t>
      </w:r>
      <w:bookmarkEnd w:id="60"/>
    </w:p>
    <w:p w:rsidR="009720B3" w:rsidRDefault="009720B3">
      <w:pPr>
        <w:pStyle w:val="Amain"/>
        <w:keepNext/>
      </w:pPr>
      <w:r>
        <w:tab/>
        <w:t>(1)</w:t>
      </w:r>
      <w:r>
        <w:tab/>
        <w:t xml:space="preserve">The linked-jackpot contribution for a linked gaming machine is the amount that the linked jackpot for </w:t>
      </w:r>
      <w:r w:rsidR="000641F0" w:rsidRPr="00AE589E">
        <w:rPr>
          <w:szCs w:val="24"/>
        </w:rPr>
        <w:t>the gaming machine</w:t>
      </w:r>
      <w:r>
        <w:t xml:space="preserve"> must increase after each game played on </w:t>
      </w:r>
      <w:r w:rsidR="000641F0" w:rsidRPr="00AE589E">
        <w:rPr>
          <w:szCs w:val="24"/>
        </w:rPr>
        <w:t>the gaming machine</w:t>
      </w:r>
      <w:r>
        <w:t xml:space="preserve"> in accordance with the following formula:</w:t>
      </w:r>
    </w:p>
    <w:p w:rsidR="009720B3" w:rsidRDefault="009720B3">
      <w:pPr>
        <w:pStyle w:val="Formula"/>
      </w:pPr>
      <w:r w:rsidRPr="000333A2">
        <w:rPr>
          <w:position w:val="-10"/>
        </w:rPr>
        <w:object w:dxaOrig="3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7.25pt" o:ole="">
            <v:imagedata r:id="rId64" o:title=""/>
          </v:shape>
          <o:OLEObject Type="Embed" ProgID="Equation.3" ShapeID="_x0000_i1025" DrawAspect="Content" ObjectID="_1623237941" r:id="rId65"/>
        </w:object>
      </w:r>
    </w:p>
    <w:p w:rsidR="009720B3" w:rsidRDefault="009720B3">
      <w:pPr>
        <w:pStyle w:val="Amain"/>
      </w:pPr>
      <w:r>
        <w:tab/>
        <w:t>(2)</w:t>
      </w:r>
      <w:r>
        <w:tab/>
        <w:t>This section does not apply if the linked jackpot must be reset under this part.</w:t>
      </w:r>
    </w:p>
    <w:p w:rsidR="009720B3" w:rsidRDefault="009720B3">
      <w:pPr>
        <w:pStyle w:val="Amain"/>
        <w:keepNext/>
      </w:pPr>
      <w:r>
        <w:tab/>
        <w:t>(3)</w:t>
      </w:r>
      <w:r>
        <w:tab/>
        <w:t>In this section:</w:t>
      </w:r>
    </w:p>
    <w:p w:rsidR="009720B3" w:rsidRDefault="009720B3">
      <w:pPr>
        <w:pStyle w:val="aDef"/>
        <w:keepNext/>
      </w:pPr>
      <w:r>
        <w:rPr>
          <w:rStyle w:val="charBoldItals"/>
        </w:rPr>
        <w:t>percentage of turnover</w:t>
      </w:r>
      <w:r>
        <w:t xml:space="preserve"> means—</w:t>
      </w:r>
    </w:p>
    <w:p w:rsidR="009720B3" w:rsidRDefault="009720B3">
      <w:pPr>
        <w:pStyle w:val="aDefpara"/>
      </w:pPr>
      <w:r>
        <w:tab/>
        <w:t>(a)</w:t>
      </w:r>
      <w:r>
        <w:tab/>
        <w:t xml:space="preserve">for a gaming machine operated under a multi-user permit—the percentage of </w:t>
      </w:r>
      <w:r w:rsidR="000641F0" w:rsidRPr="00AE589E">
        <w:rPr>
          <w:szCs w:val="24"/>
        </w:rPr>
        <w:t>the gaming machine’s</w:t>
      </w:r>
      <w:r>
        <w:t xml:space="preserve"> turnover required to be set aside for payment of linked jackpots under the contract between the permit-holder and the licensee; or</w:t>
      </w:r>
    </w:p>
    <w:p w:rsidR="009720B3" w:rsidRDefault="009720B3">
      <w:pPr>
        <w:pStyle w:val="aDefpara"/>
      </w:pPr>
      <w:r>
        <w:tab/>
        <w:t>(b)</w:t>
      </w:r>
      <w:r>
        <w:tab/>
        <w:t xml:space="preserve">for a gaming machine operated under a single-user </w:t>
      </w:r>
      <w:r w:rsidR="00D77726" w:rsidRPr="00AE589E">
        <w:rPr>
          <w:szCs w:val="24"/>
        </w:rPr>
        <w:t>approval</w:t>
      </w:r>
      <w:r>
        <w:t xml:space="preserve">—the percentage of </w:t>
      </w:r>
      <w:r w:rsidR="000641F0" w:rsidRPr="00AE589E">
        <w:rPr>
          <w:szCs w:val="24"/>
        </w:rPr>
        <w:t>the gaming machine’s</w:t>
      </w:r>
      <w:r>
        <w:t xml:space="preserve"> turnover required to be set aside for payment of linked jackpots under the licence for the gaming machine.</w:t>
      </w:r>
    </w:p>
    <w:p w:rsidR="009720B3" w:rsidRDefault="009720B3">
      <w:pPr>
        <w:pStyle w:val="aDef"/>
      </w:pPr>
      <w:r>
        <w:rPr>
          <w:rStyle w:val="charBoldItals"/>
        </w:rPr>
        <w:t>stake</w:t>
      </w:r>
      <w:r>
        <w:t xml:space="preserve"> means the amount staked in the game.</w:t>
      </w:r>
    </w:p>
    <w:p w:rsidR="009720B3" w:rsidRDefault="009720B3">
      <w:pPr>
        <w:pStyle w:val="AH5Sec"/>
      </w:pPr>
      <w:bookmarkStart w:id="61" w:name="_Toc532221239"/>
      <w:r w:rsidRPr="00B043CD">
        <w:rPr>
          <w:rStyle w:val="CharSectNo"/>
        </w:rPr>
        <w:t>44</w:t>
      </w:r>
      <w:r>
        <w:tab/>
        <w:t>Electronic polling</w:t>
      </w:r>
      <w:bookmarkEnd w:id="61"/>
    </w:p>
    <w:p w:rsidR="009720B3" w:rsidRDefault="009720B3">
      <w:pPr>
        <w:pStyle w:val="Amainreturn"/>
      </w:pPr>
      <w:r>
        <w:t xml:space="preserve">Each linked gaming machine must be polled electronically at least once between games played on </w:t>
      </w:r>
      <w:r w:rsidR="000641F0" w:rsidRPr="00AE589E">
        <w:rPr>
          <w:szCs w:val="24"/>
        </w:rPr>
        <w:t>the gaming machine</w:t>
      </w:r>
      <w:r>
        <w:t>.</w:t>
      </w:r>
    </w:p>
    <w:p w:rsidR="009720B3" w:rsidRDefault="009720B3">
      <w:pPr>
        <w:pStyle w:val="AH5Sec"/>
      </w:pPr>
      <w:bookmarkStart w:id="62" w:name="_Toc532221240"/>
      <w:r w:rsidRPr="00B043CD">
        <w:rPr>
          <w:rStyle w:val="CharSectNo"/>
        </w:rPr>
        <w:t>45</w:t>
      </w:r>
      <w:r>
        <w:tab/>
        <w:t>Display of linked-jackpot amount</w:t>
      </w:r>
      <w:bookmarkEnd w:id="62"/>
    </w:p>
    <w:p w:rsidR="009720B3" w:rsidRDefault="009720B3">
      <w:pPr>
        <w:pStyle w:val="Amainreturn"/>
      </w:pPr>
      <w:r>
        <w:t>The amount of the linked jackpot must be displayed so that it can be easily read from each linked gaming machine at all times while the linked-jackpot arrangement is operating.</w:t>
      </w:r>
    </w:p>
    <w:p w:rsidR="009720B3" w:rsidRDefault="009720B3">
      <w:pPr>
        <w:pStyle w:val="AH5Sec"/>
      </w:pPr>
      <w:bookmarkStart w:id="63" w:name="_Toc532221241"/>
      <w:r w:rsidRPr="00B043CD">
        <w:rPr>
          <w:rStyle w:val="CharSectNo"/>
        </w:rPr>
        <w:lastRenderedPageBreak/>
        <w:t>46</w:t>
      </w:r>
      <w:r>
        <w:tab/>
        <w:t>Winning linked jackpots</w:t>
      </w:r>
      <w:bookmarkEnd w:id="63"/>
    </w:p>
    <w:p w:rsidR="009720B3" w:rsidRDefault="009720B3">
      <w:pPr>
        <w:pStyle w:val="Amain"/>
      </w:pPr>
      <w:r>
        <w:tab/>
        <w:t>(1)</w:t>
      </w:r>
      <w:r>
        <w:tab/>
        <w:t xml:space="preserve">This section applies if a person claims to have won a linked jackpot on a linked gaming machine on </w:t>
      </w:r>
      <w:r w:rsidR="00BE1251" w:rsidRPr="00AE589E">
        <w:rPr>
          <w:szCs w:val="24"/>
        </w:rPr>
        <w:t>authorised</w:t>
      </w:r>
      <w:r w:rsidR="00BE1251">
        <w:rPr>
          <w:szCs w:val="24"/>
        </w:rPr>
        <w:t xml:space="preserve"> </w:t>
      </w:r>
      <w:r>
        <w:t>premises.</w:t>
      </w:r>
    </w:p>
    <w:p w:rsidR="009720B3" w:rsidRDefault="009720B3">
      <w:pPr>
        <w:pStyle w:val="Amain"/>
      </w:pPr>
      <w:r>
        <w:tab/>
        <w:t>(2)</w:t>
      </w:r>
      <w:r>
        <w:tab/>
        <w:t>The licensee of the premises where the linked gaming machine is located must—</w:t>
      </w:r>
    </w:p>
    <w:p w:rsidR="00031046" w:rsidRPr="009545D2" w:rsidRDefault="00031046" w:rsidP="00031046">
      <w:pPr>
        <w:pStyle w:val="Apara"/>
      </w:pPr>
      <w:r w:rsidRPr="009545D2">
        <w:tab/>
        <w:t>(a)</w:t>
      </w:r>
      <w:r w:rsidRPr="009545D2">
        <w:tab/>
        <w:t>take all reasonable steps necessary to prevent the gaming machine being played until the licensee has worked out the matters to be worked out under paragraphs (b) and (c); and</w:t>
      </w:r>
    </w:p>
    <w:p w:rsidR="009720B3" w:rsidRDefault="009720B3">
      <w:pPr>
        <w:pStyle w:val="Apara"/>
      </w:pPr>
      <w:r>
        <w:tab/>
        <w:t>(b)</w:t>
      </w:r>
      <w:r>
        <w:tab/>
        <w:t>work out whether the person has won a linked jackpot; and</w:t>
      </w:r>
    </w:p>
    <w:p w:rsidR="009720B3" w:rsidRDefault="009720B3">
      <w:pPr>
        <w:pStyle w:val="Apara"/>
      </w:pPr>
      <w:r>
        <w:tab/>
        <w:t>(c)</w:t>
      </w:r>
      <w:r>
        <w:tab/>
        <w:t>if the person has won—work out the amount of the linked jackpot the person has won by referring to the electronic poll of the gaming machine on which the jackpot was won.</w:t>
      </w:r>
    </w:p>
    <w:p w:rsidR="009720B3" w:rsidRDefault="009720B3">
      <w:pPr>
        <w:pStyle w:val="AH5Sec"/>
      </w:pPr>
      <w:bookmarkStart w:id="64" w:name="_Toc532221242"/>
      <w:r w:rsidRPr="00B043CD">
        <w:rPr>
          <w:rStyle w:val="CharSectNo"/>
        </w:rPr>
        <w:t>47</w:t>
      </w:r>
      <w:r>
        <w:tab/>
        <w:t xml:space="preserve">Resetting linked </w:t>
      </w:r>
      <w:r w:rsidR="000641F0" w:rsidRPr="00AE589E">
        <w:rPr>
          <w:szCs w:val="24"/>
        </w:rPr>
        <w:t>gaming machines</w:t>
      </w:r>
      <w:bookmarkEnd w:id="64"/>
    </w:p>
    <w:p w:rsidR="009720B3" w:rsidRDefault="009720B3">
      <w:pPr>
        <w:pStyle w:val="Amain"/>
      </w:pPr>
      <w:r>
        <w:tab/>
        <w:t>(1)</w:t>
      </w:r>
      <w:r>
        <w:tab/>
        <w:t>This section applies if a licensee has worked out the linked jackpot won by a person on a linked gaming machine under section 46.</w:t>
      </w:r>
    </w:p>
    <w:p w:rsidR="009720B3" w:rsidRDefault="009720B3">
      <w:pPr>
        <w:pStyle w:val="Amain"/>
      </w:pPr>
      <w:r>
        <w:tab/>
        <w:t>(2)</w:t>
      </w:r>
      <w:r>
        <w:tab/>
        <w:t xml:space="preserve">As soon as practicable after the licensee works out the linked jackpot, the jackpot must be reset in accordance with the </w:t>
      </w:r>
      <w:r w:rsidR="00D77726" w:rsidRPr="00AE589E">
        <w:rPr>
          <w:szCs w:val="24"/>
        </w:rPr>
        <w:t>approval</w:t>
      </w:r>
      <w:r w:rsidR="00D77726">
        <w:rPr>
          <w:szCs w:val="24"/>
        </w:rPr>
        <w:t xml:space="preserve"> </w:t>
      </w:r>
      <w:r>
        <w:t>for the linked-jackpot arrangement under which the jackpot was won.</w:t>
      </w:r>
    </w:p>
    <w:p w:rsidR="009720B3" w:rsidRDefault="009720B3">
      <w:pPr>
        <w:pStyle w:val="AH5Sec"/>
      </w:pPr>
      <w:bookmarkStart w:id="65" w:name="_Toc532221243"/>
      <w:r w:rsidRPr="00B043CD">
        <w:rPr>
          <w:rStyle w:val="CharSectNo"/>
        </w:rPr>
        <w:t>48</w:t>
      </w:r>
      <w:r>
        <w:tab/>
        <w:t>Multiple winners</w:t>
      </w:r>
      <w:bookmarkEnd w:id="65"/>
    </w:p>
    <w:p w:rsidR="009720B3" w:rsidRDefault="009720B3">
      <w:pPr>
        <w:pStyle w:val="Amainreturn"/>
      </w:pPr>
      <w:r>
        <w:t>If the electronic poll of linked gaming machines indicates that there is more than 1 winner of a linked jackpot, the linked jackpot must be divided equally between the winners.</w:t>
      </w:r>
    </w:p>
    <w:p w:rsidR="009720B3" w:rsidRDefault="009720B3">
      <w:pPr>
        <w:pStyle w:val="AH5Sec"/>
      </w:pPr>
      <w:bookmarkStart w:id="66" w:name="_Toc532221244"/>
      <w:r w:rsidRPr="00B043CD">
        <w:rPr>
          <w:rStyle w:val="CharSectNo"/>
        </w:rPr>
        <w:t>49</w:t>
      </w:r>
      <w:r>
        <w:tab/>
        <w:t>Payment of linked jackpots</w:t>
      </w:r>
      <w:bookmarkEnd w:id="66"/>
    </w:p>
    <w:p w:rsidR="009720B3" w:rsidRDefault="009720B3">
      <w:pPr>
        <w:pStyle w:val="Amainreturn"/>
      </w:pPr>
      <w:r>
        <w:t>A licensee must pay a linked jackpot to a person if—</w:t>
      </w:r>
    </w:p>
    <w:p w:rsidR="009720B3" w:rsidRDefault="009720B3">
      <w:pPr>
        <w:pStyle w:val="Apara"/>
      </w:pPr>
      <w:r>
        <w:tab/>
        <w:t>(a)</w:t>
      </w:r>
      <w:r>
        <w:tab/>
        <w:t>the person claims to have won the jackpot; and</w:t>
      </w:r>
    </w:p>
    <w:p w:rsidR="009720B3" w:rsidRDefault="009720B3">
      <w:pPr>
        <w:pStyle w:val="Apara"/>
      </w:pPr>
      <w:r>
        <w:tab/>
        <w:t>(b)</w:t>
      </w:r>
      <w:r>
        <w:tab/>
        <w:t>the licensee is satisfied, on reasonable grounds, that the person has won the linked jackpot on the licensee’s gaming machine.</w:t>
      </w:r>
    </w:p>
    <w:p w:rsidR="009720B3" w:rsidRDefault="009720B3">
      <w:pPr>
        <w:pStyle w:val="AH5Sec"/>
      </w:pPr>
      <w:bookmarkStart w:id="67" w:name="_Toc532221245"/>
      <w:r w:rsidRPr="00B043CD">
        <w:rPr>
          <w:rStyle w:val="CharSectNo"/>
        </w:rPr>
        <w:lastRenderedPageBreak/>
        <w:t>50</w:t>
      </w:r>
      <w:r>
        <w:tab/>
        <w:t>Meter readings</w:t>
      </w:r>
      <w:bookmarkEnd w:id="67"/>
    </w:p>
    <w:p w:rsidR="009720B3" w:rsidRDefault="009720B3">
      <w:pPr>
        <w:pStyle w:val="Amainreturn"/>
      </w:pPr>
      <w:r>
        <w:t xml:space="preserve">The licensee of </w:t>
      </w:r>
      <w:r w:rsidR="00BE1251" w:rsidRPr="00AE589E">
        <w:rPr>
          <w:szCs w:val="24"/>
        </w:rPr>
        <w:t>authorised</w:t>
      </w:r>
      <w:r w:rsidR="00BE1251">
        <w:rPr>
          <w:szCs w:val="24"/>
        </w:rPr>
        <w:t xml:space="preserve"> </w:t>
      </w:r>
      <w:r>
        <w:t>premises must ensure that meter readings from a linked gaming machine on the premises are recorded—</w:t>
      </w:r>
    </w:p>
    <w:p w:rsidR="009720B3" w:rsidRDefault="009720B3">
      <w:pPr>
        <w:pStyle w:val="Apara"/>
      </w:pPr>
      <w:r>
        <w:tab/>
        <w:t>(a)</w:t>
      </w:r>
      <w:r>
        <w:tab/>
        <w:t xml:space="preserve">immediately before </w:t>
      </w:r>
      <w:r w:rsidR="00D95A1D" w:rsidRPr="00AE589E">
        <w:rPr>
          <w:szCs w:val="24"/>
        </w:rPr>
        <w:t>the gaming machine</w:t>
      </w:r>
      <w:r>
        <w:t xml:space="preserve"> is linked; and</w:t>
      </w:r>
    </w:p>
    <w:p w:rsidR="009720B3" w:rsidRDefault="009720B3">
      <w:pPr>
        <w:pStyle w:val="Apara"/>
      </w:pPr>
      <w:r>
        <w:tab/>
        <w:t>(b)</w:t>
      </w:r>
      <w:r>
        <w:tab/>
        <w:t xml:space="preserve">if a linked jackpot is won on </w:t>
      </w:r>
      <w:r w:rsidR="00D95A1D" w:rsidRPr="00AE589E">
        <w:rPr>
          <w:szCs w:val="24"/>
        </w:rPr>
        <w:t>the gaming machine</w:t>
      </w:r>
      <w:r>
        <w:t>—immediately after the jackpot is won; and</w:t>
      </w:r>
    </w:p>
    <w:p w:rsidR="009720B3" w:rsidRDefault="009720B3">
      <w:pPr>
        <w:pStyle w:val="Apara"/>
      </w:pPr>
      <w:r>
        <w:tab/>
        <w:t>(c)</w:t>
      </w:r>
      <w:r>
        <w:tab/>
        <w:t xml:space="preserve">if </w:t>
      </w:r>
      <w:r w:rsidR="00D95A1D" w:rsidRPr="00AE589E">
        <w:rPr>
          <w:szCs w:val="24"/>
        </w:rPr>
        <w:t>the gaming machine</w:t>
      </w:r>
      <w:r>
        <w:t xml:space="preserve"> is to stop being part of the linked-jackpot arrangement—immediately before </w:t>
      </w:r>
      <w:r w:rsidR="00D95A1D" w:rsidRPr="00AE589E">
        <w:rPr>
          <w:szCs w:val="24"/>
        </w:rPr>
        <w:t>the gaming machine</w:t>
      </w:r>
      <w:r>
        <w:t xml:space="preserve"> stops being part of the arrangement.</w:t>
      </w:r>
    </w:p>
    <w:p w:rsidR="009720B3" w:rsidRDefault="0008401E">
      <w:pPr>
        <w:pStyle w:val="aExamHdgpar"/>
      </w:pPr>
      <w:r>
        <w:t>Examples—</w:t>
      </w:r>
      <w:r w:rsidR="00D95A1D" w:rsidRPr="00AE589E">
        <w:rPr>
          <w:szCs w:val="24"/>
        </w:rPr>
        <w:t>gaming machine</w:t>
      </w:r>
      <w:r w:rsidR="00D95A1D">
        <w:rPr>
          <w:szCs w:val="24"/>
        </w:rPr>
        <w:t xml:space="preserve"> </w:t>
      </w:r>
      <w:r w:rsidR="009720B3">
        <w:t>stopping being part of linked-jackpot arrangement</w:t>
      </w:r>
    </w:p>
    <w:p w:rsidR="009720B3" w:rsidRDefault="009720B3">
      <w:pPr>
        <w:pStyle w:val="aExampar"/>
      </w:pPr>
      <w:r>
        <w:t>1</w:t>
      </w:r>
      <w:r>
        <w:tab/>
        <w:t xml:space="preserve">The licensee intends to stop using </w:t>
      </w:r>
      <w:r w:rsidR="00D95A1D" w:rsidRPr="00D95A1D">
        <w:t>the gaming machine</w:t>
      </w:r>
      <w:r w:rsidR="00D95A1D">
        <w:t xml:space="preserve"> under the </w:t>
      </w:r>
      <w:r w:rsidR="00D95A1D">
        <w:tab/>
      </w:r>
      <w:r>
        <w:t>arrangement.</w:t>
      </w:r>
    </w:p>
    <w:p w:rsidR="009720B3" w:rsidRDefault="009720B3">
      <w:pPr>
        <w:pStyle w:val="aExampar"/>
      </w:pPr>
      <w:r>
        <w:t>2</w:t>
      </w:r>
      <w:r>
        <w:tab/>
        <w:t>The linked-jackpot arrangement is to end.</w:t>
      </w:r>
    </w:p>
    <w:p w:rsidR="009720B3" w:rsidRDefault="009720B3">
      <w:pPr>
        <w:pStyle w:val="aNotepar"/>
      </w:pPr>
      <w:r>
        <w:rPr>
          <w:rStyle w:val="charItals"/>
        </w:rPr>
        <w:t>Note</w:t>
      </w:r>
      <w:r>
        <w:rPr>
          <w:rStyle w:val="charItals"/>
        </w:rPr>
        <w:tab/>
      </w:r>
      <w:r>
        <w:t xml:space="preserve">An example is part of the regulation, is not exhaustive and may extend, but does not limit, the meaning of the provision in which it appears (see </w:t>
      </w:r>
      <w:hyperlink r:id="rId66" w:tooltip="A2001-14" w:history="1">
        <w:r w:rsidR="000812EE" w:rsidRPr="000812EE">
          <w:rPr>
            <w:rStyle w:val="charCitHyperlinkAbbrev"/>
          </w:rPr>
          <w:t>Legislation Act</w:t>
        </w:r>
      </w:hyperlink>
      <w:r>
        <w:t>, s 126 and s 132).</w:t>
      </w:r>
    </w:p>
    <w:p w:rsidR="009720B3" w:rsidRDefault="009720B3">
      <w:pPr>
        <w:pStyle w:val="AH5Sec"/>
      </w:pPr>
      <w:bookmarkStart w:id="68" w:name="_Toc532221246"/>
      <w:r w:rsidRPr="00B043CD">
        <w:rPr>
          <w:rStyle w:val="CharSectNo"/>
        </w:rPr>
        <w:t>51</w:t>
      </w:r>
      <w:r>
        <w:tab/>
        <w:t xml:space="preserve">Link equipment in single-user </w:t>
      </w:r>
      <w:r w:rsidR="00D77726" w:rsidRPr="00AE589E">
        <w:rPr>
          <w:szCs w:val="24"/>
        </w:rPr>
        <w:t>approvals</w:t>
      </w:r>
      <w:bookmarkEnd w:id="68"/>
    </w:p>
    <w:p w:rsidR="009720B3" w:rsidRDefault="009720B3">
      <w:pPr>
        <w:pStyle w:val="Amain"/>
      </w:pPr>
      <w:r>
        <w:tab/>
        <w:t>(1)</w:t>
      </w:r>
      <w:r>
        <w:tab/>
        <w:t xml:space="preserve">This section applies only to link equipment on </w:t>
      </w:r>
      <w:r w:rsidR="00BE1251" w:rsidRPr="00AE589E">
        <w:rPr>
          <w:szCs w:val="24"/>
        </w:rPr>
        <w:t>authorised</w:t>
      </w:r>
      <w:r w:rsidR="00BE1251">
        <w:rPr>
          <w:szCs w:val="24"/>
        </w:rPr>
        <w:t xml:space="preserve"> </w:t>
      </w:r>
      <w:r>
        <w:t xml:space="preserve">premises that is being used under a single-user </w:t>
      </w:r>
      <w:r w:rsidR="00D77726" w:rsidRPr="00AE589E">
        <w:rPr>
          <w:szCs w:val="24"/>
        </w:rPr>
        <w:t>approval</w:t>
      </w:r>
      <w:r>
        <w:t>.</w:t>
      </w:r>
    </w:p>
    <w:p w:rsidR="009720B3" w:rsidRDefault="009720B3">
      <w:pPr>
        <w:pStyle w:val="Amain"/>
      </w:pPr>
      <w:r>
        <w:tab/>
        <w:t>(2)</w:t>
      </w:r>
      <w:r>
        <w:tab/>
        <w:t>If the link equipment malfunctions, the licensee of the premises must take reasonable steps to arrange for the repair of the malfunction by an authorised person as soon as practicable after it happens.</w:t>
      </w:r>
    </w:p>
    <w:p w:rsidR="009720B3" w:rsidRDefault="009720B3">
      <w:pPr>
        <w:pStyle w:val="Amain"/>
        <w:keepNext/>
      </w:pPr>
      <w:r>
        <w:tab/>
        <w:t>(3)</w:t>
      </w:r>
      <w:r>
        <w:tab/>
        <w:t>In this section:</w:t>
      </w:r>
    </w:p>
    <w:p w:rsidR="009720B3" w:rsidRDefault="009720B3">
      <w:pPr>
        <w:pStyle w:val="aDef"/>
        <w:keepNext/>
      </w:pPr>
      <w:r>
        <w:rPr>
          <w:rStyle w:val="charBoldItals"/>
        </w:rPr>
        <w:t>authorised person</w:t>
      </w:r>
      <w:r>
        <w:t xml:space="preserve"> means—</w:t>
      </w:r>
    </w:p>
    <w:p w:rsidR="009720B3" w:rsidRDefault="009720B3">
      <w:pPr>
        <w:pStyle w:val="aDefpara"/>
      </w:pPr>
      <w:r>
        <w:tab/>
        <w:t>(a)</w:t>
      </w:r>
      <w:r>
        <w:tab/>
        <w:t>an authorised officer; or</w:t>
      </w:r>
    </w:p>
    <w:p w:rsidR="009720B3" w:rsidRDefault="009720B3">
      <w:pPr>
        <w:pStyle w:val="aDefpara"/>
      </w:pPr>
      <w:r>
        <w:tab/>
        <w:t>(b)</w:t>
      </w:r>
      <w:r>
        <w:tab/>
        <w:t>an approved supplier; or</w:t>
      </w:r>
    </w:p>
    <w:p w:rsidR="009720B3" w:rsidRDefault="009720B3">
      <w:pPr>
        <w:pStyle w:val="aDefpara"/>
      </w:pPr>
      <w:r>
        <w:tab/>
        <w:t>(c)</w:t>
      </w:r>
      <w:r>
        <w:tab/>
        <w:t>an approved technician.</w:t>
      </w:r>
    </w:p>
    <w:p w:rsidR="009720B3" w:rsidRDefault="009720B3">
      <w:pPr>
        <w:pStyle w:val="AH5Sec"/>
      </w:pPr>
      <w:bookmarkStart w:id="69" w:name="_Toc532221247"/>
      <w:r w:rsidRPr="00B043CD">
        <w:rPr>
          <w:rStyle w:val="CharSectNo"/>
        </w:rPr>
        <w:lastRenderedPageBreak/>
        <w:t>52</w:t>
      </w:r>
      <w:r>
        <w:tab/>
        <w:t>Records on ending arrangement</w:t>
      </w:r>
      <w:bookmarkEnd w:id="69"/>
    </w:p>
    <w:p w:rsidR="009720B3" w:rsidRDefault="009720B3">
      <w:pPr>
        <w:pStyle w:val="Amainreturn"/>
      </w:pPr>
      <w:r>
        <w:t xml:space="preserve">Immediately before a linked-jackpot arrangement operating at </w:t>
      </w:r>
      <w:r w:rsidR="00BE1251" w:rsidRPr="00AE589E">
        <w:rPr>
          <w:szCs w:val="24"/>
        </w:rPr>
        <w:t>authorised</w:t>
      </w:r>
      <w:r w:rsidR="00BE1251">
        <w:rPr>
          <w:szCs w:val="24"/>
        </w:rPr>
        <w:t xml:space="preserve"> </w:t>
      </w:r>
      <w:r>
        <w:t>premises ends, the licensee of the premises must record—</w:t>
      </w:r>
    </w:p>
    <w:p w:rsidR="009720B3" w:rsidRDefault="009720B3">
      <w:pPr>
        <w:pStyle w:val="Apara"/>
      </w:pPr>
      <w:r>
        <w:tab/>
        <w:t>(a)</w:t>
      </w:r>
      <w:r>
        <w:tab/>
        <w:t>the meter readings of each linked gaming machine; and</w:t>
      </w:r>
    </w:p>
    <w:p w:rsidR="009720B3" w:rsidRDefault="009720B3">
      <w:pPr>
        <w:pStyle w:val="Apara"/>
      </w:pPr>
      <w:r>
        <w:tab/>
        <w:t>(b)</w:t>
      </w:r>
      <w:r>
        <w:tab/>
        <w:t>the amount of the potential linked jackpot available.</w:t>
      </w:r>
    </w:p>
    <w:p w:rsidR="009720B3" w:rsidRDefault="009720B3">
      <w:pPr>
        <w:pStyle w:val="AH5Sec"/>
      </w:pPr>
      <w:bookmarkStart w:id="70" w:name="_Toc532221248"/>
      <w:r w:rsidRPr="00B043CD">
        <w:rPr>
          <w:rStyle w:val="CharSectNo"/>
        </w:rPr>
        <w:t>53</w:t>
      </w:r>
      <w:r>
        <w:tab/>
        <w:t>Uncollected linked jackpots</w:t>
      </w:r>
      <w:bookmarkEnd w:id="70"/>
    </w:p>
    <w:p w:rsidR="009720B3" w:rsidRDefault="009720B3">
      <w:pPr>
        <w:pStyle w:val="Amain"/>
      </w:pPr>
      <w:r>
        <w:tab/>
        <w:t>(1)</w:t>
      </w:r>
      <w:r>
        <w:tab/>
        <w:t>This section applies if—</w:t>
      </w:r>
    </w:p>
    <w:p w:rsidR="009720B3" w:rsidRDefault="009720B3">
      <w:pPr>
        <w:pStyle w:val="Apara"/>
      </w:pPr>
      <w:r>
        <w:tab/>
        <w:t>(a)</w:t>
      </w:r>
      <w:r>
        <w:tab/>
        <w:t>a person wins a linked jackpot; and</w:t>
      </w:r>
    </w:p>
    <w:p w:rsidR="009720B3" w:rsidRDefault="009720B3">
      <w:pPr>
        <w:pStyle w:val="Apara"/>
      </w:pPr>
      <w:r>
        <w:tab/>
        <w:t>(b)</w:t>
      </w:r>
      <w:r>
        <w:tab/>
        <w:t xml:space="preserve">the person is not paid the jackpot before the end of the </w:t>
      </w:r>
      <w:r>
        <w:br/>
        <w:t>linked-jackpot arrangement under which the jackpot is won.</w:t>
      </w:r>
    </w:p>
    <w:p w:rsidR="009720B3" w:rsidRDefault="009720B3">
      <w:pPr>
        <w:pStyle w:val="Amain"/>
      </w:pPr>
      <w:r>
        <w:tab/>
        <w:t>(2)</w:t>
      </w:r>
      <w:r>
        <w:tab/>
        <w:t>The licensee must pay the amount to the person as soon as practicable as if the linked-jackpot arrangement had not ended.</w:t>
      </w:r>
    </w:p>
    <w:p w:rsidR="009720B3" w:rsidRPr="00B043CD" w:rsidRDefault="009720B3">
      <w:pPr>
        <w:pStyle w:val="AH3Div"/>
      </w:pPr>
      <w:bookmarkStart w:id="71" w:name="_Toc532221249"/>
      <w:r w:rsidRPr="00B043CD">
        <w:rPr>
          <w:rStyle w:val="CharDivNo"/>
        </w:rPr>
        <w:t>Division 8.2</w:t>
      </w:r>
      <w:r>
        <w:tab/>
      </w:r>
      <w:r w:rsidRPr="00B043CD">
        <w:rPr>
          <w:rStyle w:val="CharDivText"/>
        </w:rPr>
        <w:t>Multi-user permits</w:t>
      </w:r>
      <w:bookmarkEnd w:id="71"/>
    </w:p>
    <w:p w:rsidR="009720B3" w:rsidRDefault="009720B3">
      <w:pPr>
        <w:pStyle w:val="AH5Sec"/>
      </w:pPr>
      <w:bookmarkStart w:id="72" w:name="_Toc532221250"/>
      <w:r w:rsidRPr="00B043CD">
        <w:rPr>
          <w:rStyle w:val="CharSectNo"/>
        </w:rPr>
        <w:t>54</w:t>
      </w:r>
      <w:r>
        <w:tab/>
        <w:t>Application—div 8.2</w:t>
      </w:r>
      <w:bookmarkEnd w:id="72"/>
    </w:p>
    <w:p w:rsidR="009720B3" w:rsidRDefault="009720B3">
      <w:pPr>
        <w:pStyle w:val="Amainreturn"/>
      </w:pPr>
      <w:r>
        <w:t>This division applies only in relation to multi-user permits.</w:t>
      </w:r>
    </w:p>
    <w:p w:rsidR="009720B3" w:rsidRDefault="009720B3">
      <w:pPr>
        <w:pStyle w:val="AH5Sec"/>
      </w:pPr>
      <w:bookmarkStart w:id="73" w:name="_Toc532221251"/>
      <w:r w:rsidRPr="00B043CD">
        <w:rPr>
          <w:rStyle w:val="CharSectNo"/>
        </w:rPr>
        <w:t>55</w:t>
      </w:r>
      <w:r>
        <w:tab/>
        <w:t>Definitions—div 8.2</w:t>
      </w:r>
      <w:bookmarkEnd w:id="73"/>
    </w:p>
    <w:p w:rsidR="009720B3" w:rsidRDefault="009720B3">
      <w:pPr>
        <w:pStyle w:val="Amainreturn"/>
        <w:keepNext/>
      </w:pPr>
      <w:r>
        <w:t>In this division:</w:t>
      </w:r>
    </w:p>
    <w:p w:rsidR="009720B3" w:rsidRDefault="009720B3">
      <w:pPr>
        <w:pStyle w:val="aDef"/>
      </w:pPr>
      <w:r>
        <w:rPr>
          <w:rStyle w:val="charBoldItals"/>
        </w:rPr>
        <w:t>jackpot trust account</w:t>
      </w:r>
      <w:r>
        <w:t>—see section 56 (1).</w:t>
      </w:r>
    </w:p>
    <w:p w:rsidR="009720B3" w:rsidRDefault="009720B3">
      <w:pPr>
        <w:pStyle w:val="aDef"/>
      </w:pPr>
      <w:r>
        <w:rPr>
          <w:rStyle w:val="charBoldItals"/>
        </w:rPr>
        <w:t>link service fee</w:t>
      </w:r>
      <w:r>
        <w:t>–see section 57 (1).</w:t>
      </w:r>
    </w:p>
    <w:p w:rsidR="009720B3" w:rsidRDefault="009720B3">
      <w:pPr>
        <w:pStyle w:val="aDef"/>
      </w:pPr>
      <w:r>
        <w:rPr>
          <w:rStyle w:val="charBoldItals"/>
        </w:rPr>
        <w:t>linked-jackpot contract</w:t>
      </w:r>
      <w:r>
        <w:t xml:space="preserve"> means the agreement between a permit-holder and a linked licensee for the use of a linked-jackpot arrangement.</w:t>
      </w:r>
    </w:p>
    <w:p w:rsidR="009720B3" w:rsidRDefault="009720B3">
      <w:pPr>
        <w:pStyle w:val="aDef"/>
      </w:pPr>
      <w:r>
        <w:rPr>
          <w:rStyle w:val="charBoldItals"/>
        </w:rPr>
        <w:t>linked-jackpot contribution</w:t>
      </w:r>
      <w:r>
        <w:t xml:space="preserve">, for a linked gaming machine, means the amount worked out for </w:t>
      </w:r>
      <w:r w:rsidR="00A60697" w:rsidRPr="00AE589E">
        <w:rPr>
          <w:szCs w:val="24"/>
        </w:rPr>
        <w:t>the gaming machine</w:t>
      </w:r>
      <w:r>
        <w:t xml:space="preserve"> under section 43.</w:t>
      </w:r>
    </w:p>
    <w:p w:rsidR="009720B3" w:rsidRDefault="009720B3">
      <w:pPr>
        <w:pStyle w:val="aDef"/>
      </w:pPr>
      <w:r>
        <w:rPr>
          <w:rStyle w:val="charBoldItals"/>
        </w:rPr>
        <w:lastRenderedPageBreak/>
        <w:t>linked licensee</w:t>
      </w:r>
      <w:r>
        <w:t>, for a linked-jackpot arrangement, means a licensee authorised to operate gaming machines that are linked to the arrangement.</w:t>
      </w:r>
    </w:p>
    <w:p w:rsidR="009720B3" w:rsidRDefault="009720B3">
      <w:pPr>
        <w:pStyle w:val="AH5Sec"/>
      </w:pPr>
      <w:bookmarkStart w:id="74" w:name="_Toc532221252"/>
      <w:r w:rsidRPr="00B043CD">
        <w:rPr>
          <w:rStyle w:val="CharSectNo"/>
        </w:rPr>
        <w:t>56</w:t>
      </w:r>
      <w:r>
        <w:tab/>
        <w:t>Jackpot trust accounts</w:t>
      </w:r>
      <w:bookmarkEnd w:id="74"/>
    </w:p>
    <w:p w:rsidR="009720B3" w:rsidRDefault="009720B3">
      <w:pPr>
        <w:pStyle w:val="Amain"/>
      </w:pPr>
      <w:r>
        <w:tab/>
        <w:t>(1)</w:t>
      </w:r>
      <w:r>
        <w:tab/>
        <w:t xml:space="preserve">The permit-holder must keep a trust account (the </w:t>
      </w:r>
      <w:r>
        <w:rPr>
          <w:rStyle w:val="charBoldItals"/>
        </w:rPr>
        <w:t>jackpot trust account</w:t>
      </w:r>
      <w:r>
        <w:t>) for the payment of linked jackpots.</w:t>
      </w:r>
    </w:p>
    <w:p w:rsidR="009720B3" w:rsidRDefault="009720B3">
      <w:pPr>
        <w:pStyle w:val="Amain"/>
      </w:pPr>
      <w:r>
        <w:tab/>
        <w:t>(2)</w:t>
      </w:r>
      <w:r>
        <w:tab/>
        <w:t>Payments from the jackpot trust account must be by cheque signed by 2 people authorised in writing by the permit-holder.</w:t>
      </w:r>
    </w:p>
    <w:p w:rsidR="009720B3" w:rsidRDefault="009720B3">
      <w:pPr>
        <w:pStyle w:val="AH5Sec"/>
      </w:pPr>
      <w:bookmarkStart w:id="75" w:name="_Toc532221253"/>
      <w:r w:rsidRPr="00B043CD">
        <w:rPr>
          <w:rStyle w:val="CharSectNo"/>
        </w:rPr>
        <w:t>57</w:t>
      </w:r>
      <w:r>
        <w:tab/>
        <w:t>Link service fee</w:t>
      </w:r>
      <w:bookmarkEnd w:id="75"/>
    </w:p>
    <w:p w:rsidR="009720B3" w:rsidRDefault="009720B3">
      <w:pPr>
        <w:pStyle w:val="Amain"/>
      </w:pPr>
      <w:r>
        <w:tab/>
        <w:t>(1)</w:t>
      </w:r>
      <w:r>
        <w:tab/>
        <w:t xml:space="preserve">The linked-jackpot contract may provide for the licensee to pay a fee to the permit-holder for use of the linked-jackpot arrangement (the </w:t>
      </w:r>
      <w:r>
        <w:rPr>
          <w:rStyle w:val="charBoldItals"/>
        </w:rPr>
        <w:t>link service fee</w:t>
      </w:r>
      <w:r>
        <w:t>).</w:t>
      </w:r>
    </w:p>
    <w:p w:rsidR="009720B3" w:rsidRDefault="009720B3">
      <w:pPr>
        <w:pStyle w:val="Amain"/>
      </w:pPr>
      <w:r>
        <w:tab/>
        <w:t>(2)</w:t>
      </w:r>
      <w:r>
        <w:tab/>
        <w:t>A link service fee must be worked out at the same rate for each linked licensee under the linked-jackpot arrangement.</w:t>
      </w:r>
    </w:p>
    <w:p w:rsidR="009720B3" w:rsidRDefault="009720B3">
      <w:pPr>
        <w:pStyle w:val="Amain"/>
        <w:keepNext/>
      </w:pPr>
      <w:r>
        <w:tab/>
        <w:t>(3)</w:t>
      </w:r>
      <w:r>
        <w:tab/>
        <w:t>A link service fee for a linked-jackpot arrangement must be fair and reasonable, having regard to the following considerations:</w:t>
      </w:r>
    </w:p>
    <w:p w:rsidR="009720B3" w:rsidRDefault="009720B3">
      <w:pPr>
        <w:pStyle w:val="Apara"/>
      </w:pPr>
      <w:r>
        <w:tab/>
        <w:t>(a)</w:t>
      </w:r>
      <w:r>
        <w:tab/>
        <w:t>the amount spent by the permit-holder to set up the arrangement;</w:t>
      </w:r>
    </w:p>
    <w:p w:rsidR="009720B3" w:rsidRDefault="009720B3">
      <w:pPr>
        <w:pStyle w:val="Apara"/>
      </w:pPr>
      <w:r>
        <w:tab/>
        <w:t>(b)</w:t>
      </w:r>
      <w:r>
        <w:tab/>
        <w:t>the amount spent by the permit-holder to operate the arrangement;</w:t>
      </w:r>
    </w:p>
    <w:p w:rsidR="009720B3" w:rsidRDefault="009720B3">
      <w:pPr>
        <w:pStyle w:val="Apara"/>
      </w:pPr>
      <w:r>
        <w:tab/>
        <w:t>(c)</w:t>
      </w:r>
      <w:r>
        <w:tab/>
        <w:t xml:space="preserve">the best interests of each linked licensee and the people who play </w:t>
      </w:r>
      <w:r w:rsidR="00A60697" w:rsidRPr="00AE589E">
        <w:rPr>
          <w:szCs w:val="24"/>
        </w:rPr>
        <w:t>the gaming machines</w:t>
      </w:r>
      <w:r>
        <w:t xml:space="preserve"> in the linked-jackpot arrangement;</w:t>
      </w:r>
    </w:p>
    <w:p w:rsidR="009720B3" w:rsidRDefault="009720B3">
      <w:pPr>
        <w:pStyle w:val="Apara"/>
      </w:pPr>
      <w:r>
        <w:tab/>
        <w:t>(d)</w:t>
      </w:r>
      <w:r>
        <w:tab/>
        <w:t>anything else relevant to the costs and returns of the arrangement for both the permit-holder and the linked licensee.</w:t>
      </w:r>
    </w:p>
    <w:p w:rsidR="009720B3" w:rsidRDefault="009720B3">
      <w:pPr>
        <w:pStyle w:val="Amain"/>
      </w:pPr>
      <w:r>
        <w:tab/>
        <w:t>(4)</w:t>
      </w:r>
      <w:r>
        <w:tab/>
        <w:t>A link service fee is not part of, or related to, the linked licensee’s linked-jackpot contributions.</w:t>
      </w:r>
    </w:p>
    <w:p w:rsidR="009720B3" w:rsidRDefault="009720B3">
      <w:pPr>
        <w:pStyle w:val="AH5Sec"/>
      </w:pPr>
      <w:bookmarkStart w:id="76" w:name="_Toc532221254"/>
      <w:r w:rsidRPr="00B043CD">
        <w:rPr>
          <w:rStyle w:val="CharSectNo"/>
        </w:rPr>
        <w:lastRenderedPageBreak/>
        <w:t>58</w:t>
      </w:r>
      <w:r>
        <w:tab/>
        <w:t>Access to funds to cover linked-jackpot winnings</w:t>
      </w:r>
      <w:bookmarkEnd w:id="76"/>
    </w:p>
    <w:p w:rsidR="009720B3" w:rsidRDefault="009720B3">
      <w:pPr>
        <w:pStyle w:val="Amainreturn"/>
      </w:pPr>
      <w:r>
        <w:t>The permit-holder must have access at all times to sufficient funds for the payment of any linked jackpot that may be won on the linked gaming machines.</w:t>
      </w:r>
    </w:p>
    <w:p w:rsidR="009720B3" w:rsidRDefault="009720B3">
      <w:pPr>
        <w:pStyle w:val="AH5Sec"/>
      </w:pPr>
      <w:bookmarkStart w:id="77" w:name="_Toc532221255"/>
      <w:r w:rsidRPr="00B043CD">
        <w:rPr>
          <w:rStyle w:val="CharSectNo"/>
        </w:rPr>
        <w:t>59</w:t>
      </w:r>
      <w:r>
        <w:tab/>
        <w:t>Stating maximum potential linked jackpot</w:t>
      </w:r>
      <w:bookmarkEnd w:id="77"/>
    </w:p>
    <w:p w:rsidR="009720B3" w:rsidRDefault="009720B3">
      <w:pPr>
        <w:pStyle w:val="Amainreturn"/>
      </w:pPr>
      <w:r>
        <w:t>The linked-jackpot contract may provide for a maximum potential linked jackpot for a linked gaming machine—</w:t>
      </w:r>
    </w:p>
    <w:p w:rsidR="009720B3" w:rsidRDefault="009720B3">
      <w:pPr>
        <w:pStyle w:val="Apara"/>
      </w:pPr>
      <w:r>
        <w:tab/>
        <w:t>(a)</w:t>
      </w:r>
      <w:r>
        <w:tab/>
        <w:t>by stating a particular amount; or</w:t>
      </w:r>
    </w:p>
    <w:p w:rsidR="009720B3" w:rsidRDefault="009720B3">
      <w:pPr>
        <w:pStyle w:val="Apara"/>
      </w:pPr>
      <w:r>
        <w:tab/>
        <w:t>(b)</w:t>
      </w:r>
      <w:r>
        <w:tab/>
        <w:t>by stating a method by which the maximum can be worked out at any time.</w:t>
      </w:r>
    </w:p>
    <w:p w:rsidR="009720B3" w:rsidRDefault="009720B3">
      <w:pPr>
        <w:pStyle w:val="AH5Sec"/>
      </w:pPr>
      <w:bookmarkStart w:id="78" w:name="_Toc532221256"/>
      <w:r w:rsidRPr="00B043CD">
        <w:rPr>
          <w:rStyle w:val="CharSectNo"/>
        </w:rPr>
        <w:t>60</w:t>
      </w:r>
      <w:r>
        <w:tab/>
        <w:t>Collection of linked-jackpot contributions</w:t>
      </w:r>
      <w:bookmarkEnd w:id="78"/>
    </w:p>
    <w:p w:rsidR="009720B3" w:rsidRDefault="009720B3">
      <w:pPr>
        <w:pStyle w:val="Amain"/>
      </w:pPr>
      <w:r>
        <w:tab/>
        <w:t>(1)</w:t>
      </w:r>
      <w:r>
        <w:tab/>
        <w:t>The permit-holder must, on each day the linked-jackpot arrangement is operating—</w:t>
      </w:r>
    </w:p>
    <w:p w:rsidR="009720B3" w:rsidRDefault="009720B3">
      <w:pPr>
        <w:pStyle w:val="Apara"/>
      </w:pPr>
      <w:r>
        <w:tab/>
        <w:t>(a)</w:t>
      </w:r>
      <w:r>
        <w:tab/>
        <w:t>work out the amount of the linked-jackpot contribution by licensees to the permit-holder of each linked gaming machine—</w:t>
      </w:r>
    </w:p>
    <w:p w:rsidR="009720B3" w:rsidRDefault="009720B3">
      <w:pPr>
        <w:pStyle w:val="Asubpara"/>
      </w:pPr>
      <w:r>
        <w:tab/>
        <w:t>(i)</w:t>
      </w:r>
      <w:r>
        <w:tab/>
        <w:t xml:space="preserve">for the period since the linked-jackpot contribution of </w:t>
      </w:r>
      <w:r w:rsidR="00A60697" w:rsidRPr="00AE589E">
        <w:rPr>
          <w:szCs w:val="24"/>
        </w:rPr>
        <w:t>the gaming machine</w:t>
      </w:r>
      <w:r>
        <w:t xml:space="preserve"> was last worked out; or</w:t>
      </w:r>
    </w:p>
    <w:p w:rsidR="009720B3" w:rsidRDefault="009720B3">
      <w:pPr>
        <w:pStyle w:val="Asubpara"/>
      </w:pPr>
      <w:r>
        <w:tab/>
        <w:t>(ii)</w:t>
      </w:r>
      <w:r>
        <w:tab/>
        <w:t xml:space="preserve">if no linked-jackpot contribution has been worked out for </w:t>
      </w:r>
      <w:r w:rsidR="00A60697" w:rsidRPr="00AE589E">
        <w:rPr>
          <w:szCs w:val="24"/>
        </w:rPr>
        <w:t>the gaming machine</w:t>
      </w:r>
      <w:r>
        <w:t xml:space="preserve">—for the period since </w:t>
      </w:r>
      <w:r w:rsidR="00A60697" w:rsidRPr="00AE589E">
        <w:rPr>
          <w:szCs w:val="24"/>
        </w:rPr>
        <w:t>the gaming machine</w:t>
      </w:r>
      <w:r>
        <w:t xml:space="preserve"> was linked; and</w:t>
      </w:r>
    </w:p>
    <w:p w:rsidR="009720B3" w:rsidRDefault="009720B3">
      <w:pPr>
        <w:pStyle w:val="Apara"/>
      </w:pPr>
      <w:r>
        <w:tab/>
        <w:t>(b)</w:t>
      </w:r>
      <w:r>
        <w:tab/>
        <w:t>give each linked licensee written notice of the licensee’s total linked-jackpot contribution.</w:t>
      </w:r>
    </w:p>
    <w:p w:rsidR="009720B3" w:rsidRDefault="009720B3">
      <w:pPr>
        <w:pStyle w:val="Amain"/>
      </w:pPr>
      <w:r>
        <w:tab/>
        <w:t>(2)</w:t>
      </w:r>
      <w:r>
        <w:tab/>
        <w:t>A linked licensee must deposit the licensee’s total linked-jackpot contribution into the jackpot trust account within 24 hours after receiving notice of the total under subsection (1) (b).</w:t>
      </w:r>
    </w:p>
    <w:p w:rsidR="009720B3" w:rsidRDefault="009720B3">
      <w:pPr>
        <w:pStyle w:val="Amain"/>
        <w:keepNext/>
      </w:pPr>
      <w:r>
        <w:lastRenderedPageBreak/>
        <w:tab/>
        <w:t>(3)</w:t>
      </w:r>
      <w:r>
        <w:tab/>
        <w:t>In this section:</w:t>
      </w:r>
    </w:p>
    <w:p w:rsidR="009720B3" w:rsidRDefault="009720B3">
      <w:pPr>
        <w:pStyle w:val="aDef"/>
      </w:pPr>
      <w:r>
        <w:rPr>
          <w:rStyle w:val="charBoldItals"/>
        </w:rPr>
        <w:t>total linked-jackpot contribution</w:t>
      </w:r>
      <w:r>
        <w:t xml:space="preserve"> for a licensee, means the total of all linked-jackpot contributions for all linked gaming machines operated by the licensee.</w:t>
      </w:r>
    </w:p>
    <w:p w:rsidR="009720B3" w:rsidRDefault="009720B3">
      <w:pPr>
        <w:pStyle w:val="AH5Sec"/>
      </w:pPr>
      <w:bookmarkStart w:id="79" w:name="_Toc532221257"/>
      <w:r w:rsidRPr="00B043CD">
        <w:rPr>
          <w:rStyle w:val="CharSectNo"/>
        </w:rPr>
        <w:t>61</w:t>
      </w:r>
      <w:r>
        <w:tab/>
        <w:t>Link equipment</w:t>
      </w:r>
      <w:bookmarkEnd w:id="79"/>
    </w:p>
    <w:p w:rsidR="009720B3" w:rsidRDefault="009720B3">
      <w:pPr>
        <w:pStyle w:val="Amain"/>
      </w:pPr>
      <w:r>
        <w:tab/>
        <w:t>(1)</w:t>
      </w:r>
      <w:r>
        <w:tab/>
        <w:t>All link equipment must be the property of the permit-holder.</w:t>
      </w:r>
    </w:p>
    <w:p w:rsidR="009720B3" w:rsidRDefault="009720B3">
      <w:pPr>
        <w:pStyle w:val="Amain"/>
      </w:pPr>
      <w:r>
        <w:tab/>
        <w:t>(2)</w:t>
      </w:r>
      <w:r>
        <w:tab/>
        <w:t xml:space="preserve">If link equipment on </w:t>
      </w:r>
      <w:r w:rsidR="00BE1251" w:rsidRPr="00AE589E">
        <w:rPr>
          <w:szCs w:val="24"/>
        </w:rPr>
        <w:t>authorised</w:t>
      </w:r>
      <w:r w:rsidR="00BE1251">
        <w:rPr>
          <w:szCs w:val="24"/>
        </w:rPr>
        <w:t xml:space="preserve"> </w:t>
      </w:r>
      <w:r>
        <w:t>premises malfunctions, the permit</w:t>
      </w:r>
      <w:r w:rsidR="00BE1251">
        <w:noBreakHyphen/>
      </w:r>
      <w:r>
        <w:t>holder must take reasonable steps to arrange for the repair of the equipment by an authorised person as soon as practicable after it happens.</w:t>
      </w:r>
    </w:p>
    <w:p w:rsidR="009720B3" w:rsidRDefault="009720B3">
      <w:pPr>
        <w:pStyle w:val="Amain"/>
      </w:pPr>
      <w:r>
        <w:tab/>
        <w:t>(3)</w:t>
      </w:r>
      <w:r>
        <w:tab/>
        <w:t xml:space="preserve">A licensee must ensure that no-one interferes with link equipment on the </w:t>
      </w:r>
      <w:r w:rsidR="00BE1251" w:rsidRPr="00AE589E">
        <w:rPr>
          <w:szCs w:val="24"/>
        </w:rPr>
        <w:t>authorised</w:t>
      </w:r>
      <w:r w:rsidR="00BE1251">
        <w:rPr>
          <w:szCs w:val="24"/>
        </w:rPr>
        <w:t xml:space="preserve"> </w:t>
      </w:r>
      <w:r>
        <w:t>premises without the permission of the permit-holder.</w:t>
      </w:r>
    </w:p>
    <w:p w:rsidR="009720B3" w:rsidRDefault="009720B3">
      <w:pPr>
        <w:pStyle w:val="Amain"/>
        <w:keepNext/>
      </w:pPr>
      <w:r>
        <w:tab/>
        <w:t>(4)</w:t>
      </w:r>
      <w:r>
        <w:tab/>
        <w:t>In this section:</w:t>
      </w:r>
    </w:p>
    <w:p w:rsidR="009720B3" w:rsidRDefault="009720B3">
      <w:pPr>
        <w:pStyle w:val="aDef"/>
        <w:keepNext/>
      </w:pPr>
      <w:r>
        <w:rPr>
          <w:rStyle w:val="charBoldItals"/>
        </w:rPr>
        <w:t>authorised person</w:t>
      </w:r>
      <w:r>
        <w:t xml:space="preserve"> means—</w:t>
      </w:r>
    </w:p>
    <w:p w:rsidR="009720B3" w:rsidRDefault="009720B3">
      <w:pPr>
        <w:pStyle w:val="aDefpara"/>
      </w:pPr>
      <w:r>
        <w:tab/>
        <w:t>(a)</w:t>
      </w:r>
      <w:r>
        <w:tab/>
        <w:t>an authorised officer; or</w:t>
      </w:r>
    </w:p>
    <w:p w:rsidR="009720B3" w:rsidRDefault="009720B3">
      <w:pPr>
        <w:pStyle w:val="aDefpara"/>
      </w:pPr>
      <w:r>
        <w:tab/>
        <w:t>(b)</w:t>
      </w:r>
      <w:r>
        <w:tab/>
        <w:t>an approved supplier; or</w:t>
      </w:r>
    </w:p>
    <w:p w:rsidR="009720B3" w:rsidRDefault="009720B3">
      <w:pPr>
        <w:pStyle w:val="aDefpara"/>
      </w:pPr>
      <w:r>
        <w:tab/>
        <w:t>(c)</w:t>
      </w:r>
      <w:r>
        <w:tab/>
        <w:t>an approved technician; or</w:t>
      </w:r>
    </w:p>
    <w:p w:rsidR="009720B3" w:rsidRDefault="009720B3">
      <w:pPr>
        <w:pStyle w:val="aDefpara"/>
      </w:pPr>
      <w:r>
        <w:tab/>
        <w:t>(d)</w:t>
      </w:r>
      <w:r>
        <w:tab/>
        <w:t>someone else authorised in writing by the commission.</w:t>
      </w:r>
    </w:p>
    <w:p w:rsidR="009720B3" w:rsidRDefault="009720B3">
      <w:pPr>
        <w:pStyle w:val="AH5Sec"/>
      </w:pPr>
      <w:bookmarkStart w:id="80" w:name="_Toc532221258"/>
      <w:r w:rsidRPr="00B043CD">
        <w:rPr>
          <w:rStyle w:val="CharSectNo"/>
        </w:rPr>
        <w:t>62</w:t>
      </w:r>
      <w:r>
        <w:tab/>
        <w:t>Division of jackpot trust account on ending arrangement</w:t>
      </w:r>
      <w:bookmarkEnd w:id="80"/>
    </w:p>
    <w:p w:rsidR="009720B3" w:rsidRDefault="009720B3" w:rsidP="006C347E">
      <w:pPr>
        <w:pStyle w:val="Amain"/>
        <w:keepLines/>
      </w:pPr>
      <w:r>
        <w:tab/>
        <w:t>(1)</w:t>
      </w:r>
      <w:r>
        <w:tab/>
        <w:t xml:space="preserve">As soon as practicable after the linked-jackpot arrangement ends, the person who was the permit-holder (the </w:t>
      </w:r>
      <w:r>
        <w:rPr>
          <w:rStyle w:val="charBoldItals"/>
        </w:rPr>
        <w:t>former</w:t>
      </w:r>
      <w:r>
        <w:t xml:space="preserve"> </w:t>
      </w:r>
      <w:r>
        <w:rPr>
          <w:rStyle w:val="charBoldItals"/>
        </w:rPr>
        <w:t>permit-holder</w:t>
      </w:r>
      <w:r>
        <w:t xml:space="preserve">) must try to reach a written agreement with each person who was a linked licensee (the </w:t>
      </w:r>
      <w:r>
        <w:rPr>
          <w:rStyle w:val="charBoldItals"/>
        </w:rPr>
        <w:t>former linked licensees</w:t>
      </w:r>
      <w:r>
        <w:t>) about the distribution of the remaining balance of the jackpot trust account.</w:t>
      </w:r>
    </w:p>
    <w:p w:rsidR="009720B3" w:rsidRDefault="009720B3" w:rsidP="003746B6">
      <w:pPr>
        <w:pStyle w:val="Amain"/>
        <w:keepNext/>
        <w:keepLines/>
      </w:pPr>
      <w:r>
        <w:lastRenderedPageBreak/>
        <w:tab/>
        <w:t>(2)</w:t>
      </w:r>
      <w:r>
        <w:tab/>
        <w:t xml:space="preserve">If agreement is not reached within 4 weeks after the day the </w:t>
      </w:r>
      <w:r w:rsidR="003746B6">
        <w:t>linked</w:t>
      </w:r>
      <w:r w:rsidR="003746B6">
        <w:noBreakHyphen/>
      </w:r>
      <w:r>
        <w:t>jackpot arrangement ends, the former permit-holder must give the commission a written recommendation about the distribution of the remaining balance of the jackpot trust account between the former linked licensees.</w:t>
      </w:r>
    </w:p>
    <w:p w:rsidR="009720B3" w:rsidRDefault="009720B3">
      <w:pPr>
        <w:pStyle w:val="Amain"/>
      </w:pPr>
      <w:r>
        <w:tab/>
        <w:t>(3)</w:t>
      </w:r>
      <w:r>
        <w:tab/>
        <w:t>If the commission is given a recommendation under subsection (2), the commission must—</w:t>
      </w:r>
    </w:p>
    <w:p w:rsidR="009720B3" w:rsidRDefault="009720B3">
      <w:pPr>
        <w:pStyle w:val="Apara"/>
      </w:pPr>
      <w:r>
        <w:tab/>
        <w:t>(a)</w:t>
      </w:r>
      <w:r>
        <w:tab/>
        <w:t>consider the recommendation; and</w:t>
      </w:r>
    </w:p>
    <w:p w:rsidR="009720B3" w:rsidRDefault="009720B3">
      <w:pPr>
        <w:pStyle w:val="Apara"/>
      </w:pPr>
      <w:r>
        <w:tab/>
        <w:t>(b)</w:t>
      </w:r>
      <w:r>
        <w:tab/>
        <w:t>decide the distribution of the remaining balance of the jackpot trust account; and</w:t>
      </w:r>
    </w:p>
    <w:p w:rsidR="009720B3" w:rsidRDefault="009720B3">
      <w:pPr>
        <w:pStyle w:val="Apara"/>
      </w:pPr>
      <w:r>
        <w:tab/>
        <w:t>(c)</w:t>
      </w:r>
      <w:r>
        <w:tab/>
        <w:t>tell the former permit-holder about the decision.</w:t>
      </w:r>
    </w:p>
    <w:p w:rsidR="009720B3" w:rsidRDefault="009720B3">
      <w:pPr>
        <w:pStyle w:val="Amain"/>
      </w:pPr>
      <w:r>
        <w:tab/>
        <w:t>(4)</w:t>
      </w:r>
      <w:r>
        <w:tab/>
        <w:t>As soon as practicable after a distribution is agreed or decided, the former permit-holder must give each of the former linked licensees the amount to be distributed to the licensee from the jackpot trust account.</w:t>
      </w:r>
    </w:p>
    <w:p w:rsidR="009720B3" w:rsidRDefault="009720B3">
      <w:pPr>
        <w:pStyle w:val="Amain"/>
        <w:keepNext/>
      </w:pPr>
      <w:r>
        <w:tab/>
        <w:t>(5)</w:t>
      </w:r>
      <w:r>
        <w:tab/>
        <w:t>In this section:</w:t>
      </w:r>
    </w:p>
    <w:p w:rsidR="009720B3" w:rsidRDefault="009720B3">
      <w:pPr>
        <w:pStyle w:val="Amainreturn"/>
      </w:pPr>
      <w:r>
        <w:rPr>
          <w:rStyle w:val="charBoldItals"/>
        </w:rPr>
        <w:t>remaining balance of the jackpot trust account</w:t>
      </w:r>
      <w:r>
        <w:t xml:space="preserve"> does not include any amount won under the linked-jackpot arrangement or uncollected from the linked jackpot.</w:t>
      </w:r>
    </w:p>
    <w:p w:rsidR="002C6A2C" w:rsidRPr="002C6A2C" w:rsidRDefault="002C6A2C" w:rsidP="002C6A2C">
      <w:pPr>
        <w:pStyle w:val="PageBreak"/>
      </w:pPr>
      <w:r w:rsidRPr="002C6A2C">
        <w:br w:type="page"/>
      </w:r>
    </w:p>
    <w:p w:rsidR="002C6A2C" w:rsidRPr="00B043CD" w:rsidRDefault="002C6A2C" w:rsidP="002C6A2C">
      <w:pPr>
        <w:pStyle w:val="AH2Part"/>
      </w:pPr>
      <w:bookmarkStart w:id="81" w:name="_Toc532221259"/>
      <w:r w:rsidRPr="00B043CD">
        <w:rPr>
          <w:rStyle w:val="CharPartNo"/>
        </w:rPr>
        <w:lastRenderedPageBreak/>
        <w:t>Part 8A</w:t>
      </w:r>
      <w:r w:rsidRPr="00CB00E1">
        <w:tab/>
      </w:r>
      <w:r w:rsidRPr="00B043CD">
        <w:rPr>
          <w:rStyle w:val="CharPartText"/>
        </w:rPr>
        <w:t>Restriction</w:t>
      </w:r>
      <w:r w:rsidR="006B41B0" w:rsidRPr="00B043CD">
        <w:rPr>
          <w:rStyle w:val="CharPartText"/>
        </w:rPr>
        <w:t>s on cash facilities—Act, s 178 (2) </w:t>
      </w:r>
      <w:r w:rsidRPr="00B043CD">
        <w:rPr>
          <w:rStyle w:val="CharPartText"/>
        </w:rPr>
        <w:t>(c)</w:t>
      </w:r>
      <w:bookmarkEnd w:id="81"/>
    </w:p>
    <w:p w:rsidR="002C6A2C" w:rsidRDefault="002C6A2C" w:rsidP="00B5774B">
      <w:pPr>
        <w:pStyle w:val="Placeholder"/>
        <w:suppressLineNumbers/>
      </w:pPr>
      <w:r>
        <w:rPr>
          <w:rStyle w:val="CharDivNo"/>
        </w:rPr>
        <w:t xml:space="preserve">  </w:t>
      </w:r>
      <w:r>
        <w:rPr>
          <w:rStyle w:val="CharDivText"/>
        </w:rPr>
        <w:t xml:space="preserve">  </w:t>
      </w:r>
    </w:p>
    <w:p w:rsidR="002C6A2C" w:rsidRPr="00CB00E1" w:rsidRDefault="002C6A2C" w:rsidP="002C6A2C">
      <w:pPr>
        <w:pStyle w:val="aNote"/>
      </w:pPr>
      <w:r w:rsidRPr="00CB00E1">
        <w:rPr>
          <w:rStyle w:val="charItals"/>
        </w:rPr>
        <w:t>Note</w:t>
      </w:r>
      <w:r w:rsidRPr="00CB00E1">
        <w:rPr>
          <w:rStyle w:val="charItals"/>
        </w:rPr>
        <w:tab/>
      </w:r>
      <w:r w:rsidRPr="00CB00E1">
        <w:t xml:space="preserve">For other restrictions on cash facilities, see the </w:t>
      </w:r>
      <w:hyperlink r:id="rId67" w:tooltip="A2004-34" w:history="1">
        <w:r w:rsidRPr="00AE589E">
          <w:rPr>
            <w:rStyle w:val="charCitHyperlinkAbbrev"/>
          </w:rPr>
          <w:t>Act</w:t>
        </w:r>
      </w:hyperlink>
      <w:r w:rsidRPr="00CB00E1">
        <w:t xml:space="preserve">, s 153 and s 153A. </w:t>
      </w:r>
    </w:p>
    <w:p w:rsidR="002C6A2C" w:rsidRPr="00CB00E1" w:rsidRDefault="002C6A2C" w:rsidP="002C6A2C">
      <w:pPr>
        <w:pStyle w:val="AH5Sec"/>
      </w:pPr>
      <w:bookmarkStart w:id="82" w:name="_Toc532221260"/>
      <w:r w:rsidRPr="00B043CD">
        <w:rPr>
          <w:rStyle w:val="CharSectNo"/>
        </w:rPr>
        <w:t>62A</w:t>
      </w:r>
      <w:r w:rsidRPr="00CB00E1">
        <w:tab/>
        <w:t>Limits on EFTPOS facility at authorised premises</w:t>
      </w:r>
      <w:bookmarkEnd w:id="82"/>
    </w:p>
    <w:p w:rsidR="002C6A2C" w:rsidRPr="00CB00E1" w:rsidRDefault="002C6A2C" w:rsidP="002C6A2C">
      <w:pPr>
        <w:pStyle w:val="Amain"/>
      </w:pPr>
      <w:r w:rsidRPr="00CB00E1">
        <w:tab/>
        <w:t>(1)</w:t>
      </w:r>
      <w:r w:rsidRPr="00CB00E1">
        <w:tab/>
        <w:t>This section applies to authorised premises if the authorisation certificate for the premises authorises the operation of more than 20 gaming machines at the premises.</w:t>
      </w:r>
    </w:p>
    <w:p w:rsidR="002C6A2C" w:rsidRPr="00CB00E1" w:rsidRDefault="002C6A2C" w:rsidP="002C6A2C">
      <w:pPr>
        <w:pStyle w:val="Amain"/>
      </w:pPr>
      <w:r w:rsidRPr="00CB00E1">
        <w:tab/>
        <w:t>(2)</w:t>
      </w:r>
      <w:r w:rsidRPr="00CB00E1">
        <w:tab/>
        <w:t>A licensee must have not more than 1 EFTPOS facility that allows a person to withdraw cash at the licensee’s authorised premises.</w:t>
      </w:r>
    </w:p>
    <w:p w:rsidR="002C6A2C" w:rsidRPr="00CB00E1" w:rsidRDefault="002C6A2C" w:rsidP="002C6A2C">
      <w:pPr>
        <w:pStyle w:val="Penalty"/>
      </w:pPr>
      <w:r w:rsidRPr="00CB00E1">
        <w:t>Maximum penalty:  10 penalty units.</w:t>
      </w:r>
    </w:p>
    <w:p w:rsidR="002C6A2C" w:rsidRPr="00CB00E1" w:rsidRDefault="002C6A2C" w:rsidP="002C6A2C">
      <w:pPr>
        <w:pStyle w:val="Amain"/>
      </w:pPr>
      <w:r w:rsidRPr="00CB00E1">
        <w:tab/>
        <w:t>(3)</w:t>
      </w:r>
      <w:r w:rsidRPr="00CB00E1">
        <w:tab/>
        <w:t>A person may only withdraw cash from an EFTPOS facility at authorised premises if—</w:t>
      </w:r>
    </w:p>
    <w:p w:rsidR="002C6A2C" w:rsidRPr="00CB00E1" w:rsidRDefault="002C6A2C" w:rsidP="002C6A2C">
      <w:pPr>
        <w:pStyle w:val="Apara"/>
      </w:pPr>
      <w:r w:rsidRPr="00CB00E1">
        <w:tab/>
        <w:t>(a)</w:t>
      </w:r>
      <w:r w:rsidRPr="00CB00E1">
        <w:tab/>
        <w:t>the cash withdrawal does not exceed $200; and</w:t>
      </w:r>
    </w:p>
    <w:p w:rsidR="002C6A2C" w:rsidRPr="00CB00E1" w:rsidRDefault="002C6A2C" w:rsidP="002C6A2C">
      <w:pPr>
        <w:pStyle w:val="Apara"/>
      </w:pPr>
      <w:r w:rsidRPr="00CB00E1">
        <w:tab/>
        <w:t>(b)</w:t>
      </w:r>
      <w:r w:rsidRPr="00CB00E1">
        <w:tab/>
        <w:t>the person operating the EFTPOS facility is a trained staff member of the premises; and</w:t>
      </w:r>
    </w:p>
    <w:p w:rsidR="002C6A2C" w:rsidRPr="00CB00E1" w:rsidRDefault="002C6A2C" w:rsidP="002C6A2C">
      <w:pPr>
        <w:pStyle w:val="Apara"/>
      </w:pPr>
      <w:r w:rsidRPr="00CB00E1">
        <w:tab/>
        <w:t>(c)</w:t>
      </w:r>
      <w:r w:rsidRPr="00CB00E1">
        <w:tab/>
        <w:t>the trained staff member confirms the amount of cash to be withdrawn with the person making the withdrawal before the cash is withdrawn; and</w:t>
      </w:r>
    </w:p>
    <w:p w:rsidR="002C6A2C" w:rsidRPr="00CB00E1" w:rsidRDefault="002C6A2C" w:rsidP="002C6A2C">
      <w:pPr>
        <w:pStyle w:val="Apara"/>
      </w:pPr>
      <w:r w:rsidRPr="00CB00E1">
        <w:tab/>
        <w:t>(d)</w:t>
      </w:r>
      <w:r w:rsidRPr="00CB00E1">
        <w:tab/>
        <w:t xml:space="preserve">the trained staff member hands the cash withdrawn directly to the person making the withdrawal. </w:t>
      </w:r>
    </w:p>
    <w:p w:rsidR="002C6A2C" w:rsidRPr="00CB00E1" w:rsidRDefault="002C6A2C" w:rsidP="002C6A2C">
      <w:pPr>
        <w:pStyle w:val="Amain"/>
      </w:pPr>
      <w:r w:rsidRPr="00CB00E1">
        <w:tab/>
        <w:t>(4)</w:t>
      </w:r>
      <w:r w:rsidRPr="00CB00E1">
        <w:tab/>
        <w:t>A licensee commits an offence if—</w:t>
      </w:r>
    </w:p>
    <w:p w:rsidR="002C6A2C" w:rsidRPr="00CB00E1" w:rsidRDefault="002C6A2C" w:rsidP="002C6A2C">
      <w:pPr>
        <w:pStyle w:val="Apara"/>
      </w:pPr>
      <w:r w:rsidRPr="00CB00E1">
        <w:tab/>
        <w:t>(a)</w:t>
      </w:r>
      <w:r w:rsidRPr="00CB00E1">
        <w:tab/>
        <w:t>a person withdraws cash from an EFTPOS facility at the licensee’s authorised premises; and</w:t>
      </w:r>
    </w:p>
    <w:p w:rsidR="002C6A2C" w:rsidRPr="00CB00E1" w:rsidRDefault="002C6A2C" w:rsidP="002C6A2C">
      <w:pPr>
        <w:pStyle w:val="Apara"/>
      </w:pPr>
      <w:r w:rsidRPr="00CB00E1">
        <w:tab/>
        <w:t>(b)</w:t>
      </w:r>
      <w:r w:rsidRPr="00CB00E1">
        <w:tab/>
        <w:t>a requirement for withdrawing cash mentioned in subsection (3) is contravened.</w:t>
      </w:r>
    </w:p>
    <w:p w:rsidR="002C6A2C" w:rsidRPr="00CB00E1" w:rsidRDefault="002C6A2C" w:rsidP="002C6A2C">
      <w:pPr>
        <w:pStyle w:val="Penalty"/>
      </w:pPr>
      <w:r w:rsidRPr="00CB00E1">
        <w:t>Maximum penalty:  10 penalty units.</w:t>
      </w:r>
    </w:p>
    <w:p w:rsidR="002C6A2C" w:rsidRPr="00CB00E1" w:rsidRDefault="002C6A2C" w:rsidP="002C6A2C">
      <w:pPr>
        <w:pStyle w:val="Amain"/>
      </w:pPr>
      <w:r w:rsidRPr="00CB00E1">
        <w:lastRenderedPageBreak/>
        <w:tab/>
        <w:t>(5)</w:t>
      </w:r>
      <w:r w:rsidRPr="00CB00E1">
        <w:tab/>
        <w:t>An offence against this section is a strict liability offence.</w:t>
      </w:r>
    </w:p>
    <w:p w:rsidR="002C6A2C" w:rsidRPr="00CB00E1" w:rsidRDefault="002C6A2C" w:rsidP="002C6A2C">
      <w:pPr>
        <w:pStyle w:val="Amain"/>
      </w:pPr>
      <w:r w:rsidRPr="00CB00E1">
        <w:tab/>
        <w:t>(6)</w:t>
      </w:r>
      <w:r w:rsidRPr="00CB00E1">
        <w:tab/>
        <w:t>In this section:</w:t>
      </w:r>
    </w:p>
    <w:p w:rsidR="002C6A2C" w:rsidRPr="00CB00E1" w:rsidRDefault="002C6A2C" w:rsidP="002C6A2C">
      <w:pPr>
        <w:pStyle w:val="aDef"/>
      </w:pPr>
      <w:r w:rsidRPr="00CB00E1">
        <w:rPr>
          <w:rStyle w:val="charBoldItals"/>
        </w:rPr>
        <w:t>approved training program</w:t>
      </w:r>
      <w:r w:rsidRPr="00CB00E1">
        <w:t xml:space="preserve"> means a training program about the responsible provision of gambling services approved under the </w:t>
      </w:r>
      <w:hyperlink r:id="rId68" w:tooltip="SL2002-28" w:history="1">
        <w:r w:rsidRPr="00CB00E1">
          <w:rPr>
            <w:rStyle w:val="charCitHyperlinkItal"/>
          </w:rPr>
          <w:t>Gambling and Racing Control (Code of Practice) Regulation 2002</w:t>
        </w:r>
      </w:hyperlink>
      <w:r w:rsidRPr="00CB00E1">
        <w:rPr>
          <w:rStyle w:val="charItals"/>
        </w:rPr>
        <w:t>,</w:t>
      </w:r>
      <w:r w:rsidRPr="00CB00E1">
        <w:t xml:space="preserve"> section 9.</w:t>
      </w:r>
    </w:p>
    <w:p w:rsidR="002C6A2C" w:rsidRPr="00CB00E1" w:rsidRDefault="002C6A2C" w:rsidP="002C6A2C">
      <w:pPr>
        <w:pStyle w:val="aDef"/>
      </w:pPr>
      <w:r w:rsidRPr="00CB00E1">
        <w:rPr>
          <w:rStyle w:val="charBoldItals"/>
        </w:rPr>
        <w:t>trained staff member</w:t>
      </w:r>
      <w:r w:rsidRPr="00CB00E1">
        <w:t>, of authorised premises, means a staff member of the premises who has successfully completed an approved training program within the previous 3 years.</w:t>
      </w:r>
    </w:p>
    <w:p w:rsidR="009720B3" w:rsidRDefault="009720B3">
      <w:pPr>
        <w:pStyle w:val="PageBreak"/>
      </w:pPr>
      <w:r>
        <w:br w:type="page"/>
      </w:r>
    </w:p>
    <w:p w:rsidR="009720B3" w:rsidRPr="00B043CD" w:rsidRDefault="009720B3">
      <w:pPr>
        <w:pStyle w:val="AH2Part"/>
      </w:pPr>
      <w:bookmarkStart w:id="83" w:name="_Toc532221261"/>
      <w:r w:rsidRPr="00B043CD">
        <w:rPr>
          <w:rStyle w:val="CharPartNo"/>
        </w:rPr>
        <w:lastRenderedPageBreak/>
        <w:t>Part 9</w:t>
      </w:r>
      <w:r>
        <w:tab/>
      </w:r>
      <w:r w:rsidRPr="00B043CD">
        <w:rPr>
          <w:rStyle w:val="CharPartText"/>
        </w:rPr>
        <w:t>Community contributions</w:t>
      </w:r>
      <w:bookmarkEnd w:id="83"/>
    </w:p>
    <w:p w:rsidR="009720B3" w:rsidRDefault="009720B3">
      <w:pPr>
        <w:pStyle w:val="Placeholder"/>
      </w:pPr>
      <w:r>
        <w:rPr>
          <w:rStyle w:val="CharDivNo"/>
        </w:rPr>
        <w:t xml:space="preserve">  </w:t>
      </w:r>
      <w:r>
        <w:rPr>
          <w:rStyle w:val="CharDivText"/>
        </w:rPr>
        <w:t xml:space="preserve">  </w:t>
      </w:r>
    </w:p>
    <w:p w:rsidR="009720B3" w:rsidRDefault="009720B3">
      <w:pPr>
        <w:pStyle w:val="AH5Sec"/>
      </w:pPr>
      <w:bookmarkStart w:id="84" w:name="_Toc532221262"/>
      <w:r w:rsidRPr="00B043CD">
        <w:rPr>
          <w:rStyle w:val="CharSectNo"/>
        </w:rPr>
        <w:t>63</w:t>
      </w:r>
      <w:r>
        <w:tab/>
        <w:t>Guidelines for approving contributions generally—Act, s 164 (2) (a)</w:t>
      </w:r>
      <w:bookmarkEnd w:id="84"/>
    </w:p>
    <w:p w:rsidR="009720B3" w:rsidRDefault="009720B3">
      <w:pPr>
        <w:pStyle w:val="Amain"/>
        <w:keepNext/>
        <w:rPr>
          <w:lang w:val="en-GB"/>
        </w:rPr>
      </w:pPr>
      <w:r>
        <w:rPr>
          <w:lang w:val="en-GB"/>
        </w:rPr>
        <w:tab/>
        <w:t>(1)</w:t>
      </w:r>
      <w:r>
        <w:rPr>
          <w:lang w:val="en-GB"/>
        </w:rPr>
        <w:tab/>
        <w:t>The commission must not approve an amount spent on the following as a contribution:</w:t>
      </w:r>
    </w:p>
    <w:p w:rsidR="009720B3" w:rsidRDefault="009720B3">
      <w:pPr>
        <w:pStyle w:val="Apara"/>
        <w:rPr>
          <w:lang w:val="en-GB"/>
        </w:rPr>
      </w:pPr>
      <w:r>
        <w:rPr>
          <w:lang w:val="en-GB"/>
        </w:rPr>
        <w:tab/>
        <w:t>(a)</w:t>
      </w:r>
      <w:r>
        <w:rPr>
          <w:lang w:val="en-GB"/>
        </w:rPr>
        <w:tab/>
        <w:t>professional entertainment provided for patrons or used for the purpose of directly promoting activities associated with the operation of the licensee and, if the licensee is a club, with the operation of an associated organisation;</w:t>
      </w:r>
    </w:p>
    <w:p w:rsidR="009720B3" w:rsidRDefault="009720B3">
      <w:pPr>
        <w:pStyle w:val="Apara"/>
        <w:rPr>
          <w:lang w:val="en-GB"/>
        </w:rPr>
      </w:pPr>
      <w:r>
        <w:rPr>
          <w:lang w:val="en-GB"/>
        </w:rPr>
        <w:tab/>
        <w:t>(b)</w:t>
      </w:r>
      <w:r>
        <w:rPr>
          <w:lang w:val="en-GB"/>
        </w:rPr>
        <w:tab/>
      </w:r>
      <w:r>
        <w:t>the provision of alcoholic beverages either directly or indirectly through the provision of gifts, donations or prizes;</w:t>
      </w:r>
    </w:p>
    <w:p w:rsidR="009720B3" w:rsidRDefault="009720B3">
      <w:pPr>
        <w:pStyle w:val="Apara"/>
        <w:rPr>
          <w:lang w:val="en-GB"/>
        </w:rPr>
      </w:pPr>
      <w:r>
        <w:rPr>
          <w:lang w:val="en-GB"/>
        </w:rPr>
        <w:tab/>
        <w:t>(c)</w:t>
      </w:r>
      <w:r>
        <w:rPr>
          <w:lang w:val="en-GB"/>
        </w:rPr>
        <w:tab/>
      </w:r>
      <w:r>
        <w:t>the provision of expenditure, funds, subsidies or discounts relating in any way to a gambling activity;</w:t>
      </w:r>
    </w:p>
    <w:p w:rsidR="009720B3" w:rsidRDefault="009720B3">
      <w:pPr>
        <w:pStyle w:val="Apara"/>
        <w:keepNext/>
      </w:pPr>
      <w:r>
        <w:tab/>
        <w:t>(d)</w:t>
      </w:r>
      <w:r>
        <w:tab/>
        <w:t>subsidised or free meals, snacks, other food or beverages provided to a licensee’s patrons.</w:t>
      </w:r>
    </w:p>
    <w:p w:rsidR="009720B3" w:rsidRDefault="009720B3">
      <w:pPr>
        <w:pStyle w:val="aNote"/>
      </w:pPr>
      <w:r>
        <w:rPr>
          <w:rStyle w:val="charItals"/>
        </w:rPr>
        <w:t>Note</w:t>
      </w:r>
      <w:r>
        <w:rPr>
          <w:rStyle w:val="charItals"/>
        </w:rPr>
        <w:tab/>
      </w:r>
      <w:r>
        <w:t xml:space="preserve">See the </w:t>
      </w:r>
      <w:hyperlink r:id="rId69" w:tooltip="A2004-34" w:history="1">
        <w:r w:rsidR="00F216C6" w:rsidRPr="00EB6445">
          <w:rPr>
            <w:rStyle w:val="charCitHyperlinkAbbrev"/>
          </w:rPr>
          <w:t>Act</w:t>
        </w:r>
      </w:hyperlink>
      <w:r>
        <w:t xml:space="preserve">, s 164 (3), def </w:t>
      </w:r>
      <w:r>
        <w:rPr>
          <w:rStyle w:val="charBoldItals"/>
        </w:rPr>
        <w:t>contribution</w:t>
      </w:r>
      <w:r>
        <w:t xml:space="preserve">, </w:t>
      </w:r>
      <w:r w:rsidR="00C2070A">
        <w:t xml:space="preserve">par (b) (i) </w:t>
      </w:r>
      <w:r>
        <w:t>(iii).</w:t>
      </w:r>
    </w:p>
    <w:p w:rsidR="009720B3" w:rsidRDefault="009720B3">
      <w:pPr>
        <w:pStyle w:val="Amain"/>
      </w:pPr>
      <w:r>
        <w:tab/>
        <w:t>(2)</w:t>
      </w:r>
      <w:r>
        <w:tab/>
        <w:t>Subsection (1) (c) does not prevent the commission from approving an amount spent on the provision of prizes for raffles conducted by an entity that is not the licensee or an associated organisation if the amount is otherwise an eligible contribution.</w:t>
      </w:r>
    </w:p>
    <w:p w:rsidR="009720B3" w:rsidRDefault="009720B3">
      <w:pPr>
        <w:pStyle w:val="AH5Sec"/>
      </w:pPr>
      <w:bookmarkStart w:id="85" w:name="_Toc532221263"/>
      <w:r w:rsidRPr="00B043CD">
        <w:rPr>
          <w:rStyle w:val="CharSectNo"/>
        </w:rPr>
        <w:t>64</w:t>
      </w:r>
      <w:r>
        <w:tab/>
        <w:t>Guidelines for approving contributions as charitable and social welfare community contributions—Act, s 164 (2) (a)</w:t>
      </w:r>
      <w:bookmarkEnd w:id="85"/>
    </w:p>
    <w:p w:rsidR="009720B3" w:rsidRDefault="009720B3">
      <w:pPr>
        <w:pStyle w:val="Amainreturn"/>
      </w:pPr>
      <w:r>
        <w:t>The commission may approve a contribution as a charitable and social welfare community contribution only if—</w:t>
      </w:r>
    </w:p>
    <w:p w:rsidR="009720B3" w:rsidRDefault="009720B3">
      <w:pPr>
        <w:pStyle w:val="Apara"/>
      </w:pPr>
      <w:r>
        <w:tab/>
        <w:t>(a)</w:t>
      </w:r>
      <w:r>
        <w:tab/>
        <w:t>the contribution is made to a charitable organisation; or</w:t>
      </w:r>
    </w:p>
    <w:p w:rsidR="009720B3" w:rsidRDefault="009720B3" w:rsidP="001F5F33">
      <w:pPr>
        <w:pStyle w:val="Apara"/>
        <w:keepNext/>
      </w:pPr>
      <w:r>
        <w:lastRenderedPageBreak/>
        <w:tab/>
        <w:t>(b)</w:t>
      </w:r>
      <w:r>
        <w:tab/>
        <w:t>the contribution—</w:t>
      </w:r>
    </w:p>
    <w:p w:rsidR="009720B3" w:rsidRDefault="009720B3">
      <w:pPr>
        <w:pStyle w:val="Asubpara"/>
      </w:pPr>
      <w:r>
        <w:tab/>
        <w:t>(i)</w:t>
      </w:r>
      <w:r>
        <w:tab/>
        <w:t>is made to another entity for charitable and welfare purposes; and</w:t>
      </w:r>
    </w:p>
    <w:p w:rsidR="009720B3" w:rsidRDefault="009720B3">
      <w:pPr>
        <w:pStyle w:val="Asubpara"/>
      </w:pPr>
      <w:r>
        <w:tab/>
        <w:t>(ii)</w:t>
      </w:r>
      <w:r>
        <w:tab/>
        <w:t>in the commission’s opinion, supports the development of a community or helps to raise the standard of living of a community.</w:t>
      </w:r>
    </w:p>
    <w:p w:rsidR="009720B3" w:rsidRDefault="009720B3">
      <w:pPr>
        <w:pStyle w:val="aNotesubpar"/>
      </w:pPr>
      <w:r>
        <w:rPr>
          <w:rStyle w:val="charItals"/>
        </w:rPr>
        <w:t>Note</w:t>
      </w:r>
      <w:r>
        <w:rPr>
          <w:rStyle w:val="charItals"/>
        </w:rPr>
        <w:tab/>
      </w:r>
      <w:r>
        <w:rPr>
          <w:rStyle w:val="charBoldItals"/>
        </w:rPr>
        <w:t>Community</w:t>
      </w:r>
      <w:r>
        <w:t xml:space="preserve">—see the </w:t>
      </w:r>
      <w:hyperlink r:id="rId70" w:tooltip="A2004-34" w:history="1">
        <w:r w:rsidR="00F216C6" w:rsidRPr="00EB6445">
          <w:rPr>
            <w:rStyle w:val="charCitHyperlinkAbbrev"/>
          </w:rPr>
          <w:t>Act</w:t>
        </w:r>
      </w:hyperlink>
      <w:r>
        <w:t>, s 164 (3).</w:t>
      </w:r>
    </w:p>
    <w:p w:rsidR="009720B3" w:rsidRDefault="00421EEB">
      <w:pPr>
        <w:pStyle w:val="aExamHdgpar"/>
      </w:pPr>
      <w:r>
        <w:t>Examples—</w:t>
      </w:r>
      <w:r w:rsidR="009720B3">
        <w:t>par (a)</w:t>
      </w:r>
    </w:p>
    <w:p w:rsidR="009720B3" w:rsidRDefault="009720B3">
      <w:pPr>
        <w:pStyle w:val="aExampar"/>
      </w:pPr>
      <w:r>
        <w:t>1</w:t>
      </w:r>
      <w:r>
        <w:tab/>
        <w:t>the Salvation Army</w:t>
      </w:r>
    </w:p>
    <w:p w:rsidR="009720B3" w:rsidRDefault="009720B3">
      <w:pPr>
        <w:pStyle w:val="aExampar"/>
      </w:pPr>
      <w:r>
        <w:t>2</w:t>
      </w:r>
      <w:r>
        <w:tab/>
        <w:t>St Vincent de Paul</w:t>
      </w:r>
    </w:p>
    <w:p w:rsidR="009720B3" w:rsidRDefault="009720B3">
      <w:pPr>
        <w:pStyle w:val="aExampar"/>
      </w:pPr>
      <w:r>
        <w:t>3</w:t>
      </w:r>
      <w:r>
        <w:tab/>
        <w:t>the Smith Family</w:t>
      </w:r>
    </w:p>
    <w:p w:rsidR="009720B3" w:rsidRDefault="0008401E">
      <w:pPr>
        <w:pStyle w:val="aExamHdgpar"/>
      </w:pPr>
      <w:r>
        <w:t>Examples—</w:t>
      </w:r>
      <w:r w:rsidR="009720B3">
        <w:t>contributions that may support the development of a community or help to raise the standard of living of a community</w:t>
      </w:r>
    </w:p>
    <w:p w:rsidR="009720B3" w:rsidRDefault="009720B3">
      <w:pPr>
        <w:pStyle w:val="aExampar"/>
      </w:pPr>
      <w:r>
        <w:t>1</w:t>
      </w:r>
      <w:r>
        <w:tab/>
        <w:t>child protection and family support</w:t>
      </w:r>
    </w:p>
    <w:p w:rsidR="009720B3" w:rsidRDefault="009720B3">
      <w:pPr>
        <w:pStyle w:val="aExampar"/>
      </w:pPr>
      <w:r>
        <w:t>2</w:t>
      </w:r>
      <w:r>
        <w:tab/>
        <w:t>drug and alcohol support</w:t>
      </w:r>
    </w:p>
    <w:p w:rsidR="009720B3" w:rsidRDefault="009720B3">
      <w:pPr>
        <w:pStyle w:val="aExampar"/>
      </w:pPr>
      <w:r>
        <w:t>3</w:t>
      </w:r>
      <w:r>
        <w:tab/>
        <w:t xml:space="preserve">hospital equipment for use in retirement villages or facilities for use </w:t>
      </w:r>
      <w:r>
        <w:tab/>
        <w:t>by residents of the villages or facilities.</w:t>
      </w:r>
    </w:p>
    <w:p w:rsidR="009720B3" w:rsidRDefault="009720B3">
      <w:pPr>
        <w:pStyle w:val="aNotepar"/>
      </w:pPr>
      <w:r>
        <w:rPr>
          <w:rStyle w:val="charItals"/>
        </w:rPr>
        <w:t>Note</w:t>
      </w:r>
      <w:r>
        <w:rPr>
          <w:rStyle w:val="charItals"/>
        </w:rPr>
        <w:tab/>
      </w:r>
      <w:r>
        <w:t xml:space="preserve">An example is part of the regulation, is not exhaustive and may extend, but does not limit, the meaning of the provision in which it appears (see </w:t>
      </w:r>
      <w:hyperlink r:id="rId71" w:tooltip="A2001-14" w:history="1">
        <w:r w:rsidR="000812EE" w:rsidRPr="000812EE">
          <w:rPr>
            <w:rStyle w:val="charCitHyperlinkAbbrev"/>
          </w:rPr>
          <w:t>Legislation Act</w:t>
        </w:r>
      </w:hyperlink>
      <w:r>
        <w:t>, s 126 and s 132).</w:t>
      </w:r>
    </w:p>
    <w:p w:rsidR="009720B3" w:rsidRDefault="009720B3">
      <w:pPr>
        <w:pStyle w:val="AH5Sec"/>
      </w:pPr>
      <w:bookmarkStart w:id="86" w:name="_Toc532221264"/>
      <w:r w:rsidRPr="00B043CD">
        <w:rPr>
          <w:rStyle w:val="CharSectNo"/>
        </w:rPr>
        <w:t>64A</w:t>
      </w:r>
      <w:r>
        <w:tab/>
        <w:t>Guidelines for approving contributions as problem gambling community contributions—Act, s 164 (2) (a)</w:t>
      </w:r>
      <w:bookmarkEnd w:id="86"/>
    </w:p>
    <w:p w:rsidR="009720B3" w:rsidRDefault="009720B3">
      <w:pPr>
        <w:pStyle w:val="Amainreturn"/>
      </w:pPr>
      <w:r>
        <w:t>The commission may approve a contribution as a problem gambling community contribution only if the contribution is made for—</w:t>
      </w:r>
    </w:p>
    <w:p w:rsidR="009720B3" w:rsidRDefault="009720B3">
      <w:pPr>
        <w:pStyle w:val="Apara"/>
      </w:pPr>
      <w:r>
        <w:tab/>
        <w:t>(a)</w:t>
      </w:r>
      <w:r>
        <w:tab/>
        <w:t xml:space="preserve">counselling or support services for problem gamblers that are not provided by the licensee; or </w:t>
      </w:r>
    </w:p>
    <w:p w:rsidR="009720B3" w:rsidRDefault="009720B3">
      <w:pPr>
        <w:pStyle w:val="Apara"/>
      </w:pPr>
      <w:r>
        <w:tab/>
        <w:t>(b)</w:t>
      </w:r>
      <w:r>
        <w:tab/>
        <w:t>training or education programs on the recognition and avoidance of problem gambling; or</w:t>
      </w:r>
    </w:p>
    <w:p w:rsidR="009720B3" w:rsidRDefault="009720B3">
      <w:pPr>
        <w:pStyle w:val="Apara"/>
      </w:pPr>
      <w:r>
        <w:tab/>
        <w:t>(c)</w:t>
      </w:r>
      <w:r>
        <w:tab/>
        <w:t>public awareness campaigns for problem gambling; or</w:t>
      </w:r>
    </w:p>
    <w:p w:rsidR="009720B3" w:rsidRDefault="009720B3">
      <w:pPr>
        <w:pStyle w:val="Apara"/>
        <w:keepNext/>
      </w:pPr>
      <w:r>
        <w:lastRenderedPageBreak/>
        <w:tab/>
        <w:t>(d)</w:t>
      </w:r>
      <w:r>
        <w:tab/>
        <w:t>programs to research and collect data on problem gambling.</w:t>
      </w:r>
    </w:p>
    <w:p w:rsidR="009720B3" w:rsidRDefault="009720B3" w:rsidP="004451D0">
      <w:pPr>
        <w:pStyle w:val="aExamHdgss"/>
      </w:pPr>
      <w:r>
        <w:t>Example—par (a)</w:t>
      </w:r>
    </w:p>
    <w:p w:rsidR="009720B3" w:rsidRDefault="009720B3" w:rsidP="00070B4D">
      <w:pPr>
        <w:pStyle w:val="aExamss"/>
      </w:pPr>
      <w:r>
        <w:t>counselling or support services provided by Lifeline Canberra Inc, the Salvation Army or Anglicare</w:t>
      </w:r>
    </w:p>
    <w:p w:rsidR="009720B3" w:rsidRDefault="009720B3" w:rsidP="004451D0">
      <w:pPr>
        <w:pStyle w:val="aExamHdgss"/>
      </w:pPr>
      <w:r>
        <w:t>Examples—par (b)</w:t>
      </w:r>
    </w:p>
    <w:p w:rsidR="009720B3" w:rsidRDefault="009720B3" w:rsidP="00070B4D">
      <w:pPr>
        <w:pStyle w:val="aExamBulletss"/>
      </w:pPr>
      <w:r>
        <w:t>1</w:t>
      </w:r>
      <w:r>
        <w:tab/>
        <w:t>the development and delivery of an education program that assists in recognising and avoiding problem gambling</w:t>
      </w:r>
    </w:p>
    <w:p w:rsidR="009720B3" w:rsidRDefault="009720B3" w:rsidP="00070B4D">
      <w:pPr>
        <w:pStyle w:val="aExamBulletss"/>
      </w:pPr>
      <w:r>
        <w:t>2</w:t>
      </w:r>
      <w:r>
        <w:tab/>
        <w:t>the development and delivery of an education program that trains staff in effectively providing services to address problem gambling</w:t>
      </w:r>
    </w:p>
    <w:p w:rsidR="009720B3" w:rsidRDefault="009720B3" w:rsidP="004451D0">
      <w:pPr>
        <w:pStyle w:val="aExamHdgss"/>
      </w:pPr>
      <w:r>
        <w:t>Example—par (d)</w:t>
      </w:r>
    </w:p>
    <w:p w:rsidR="009720B3" w:rsidRDefault="009720B3" w:rsidP="00070B4D">
      <w:pPr>
        <w:pStyle w:val="aExamss"/>
      </w:pPr>
      <w:r>
        <w:t>research by a national research centre on the implications of problem gambling for the community</w:t>
      </w:r>
    </w:p>
    <w:p w:rsidR="009720B3" w:rsidRDefault="009720B3" w:rsidP="00070B4D">
      <w:pPr>
        <w:pStyle w:val="aNote"/>
      </w:pPr>
      <w:r>
        <w:rPr>
          <w:rStyle w:val="charItals"/>
        </w:rPr>
        <w:t>Note</w:t>
      </w:r>
      <w:r>
        <w:rPr>
          <w:rStyle w:val="charItals"/>
        </w:rPr>
        <w:tab/>
      </w:r>
      <w:r>
        <w:t xml:space="preserve">An example is part of the regulation, is not exhaustive and may extend, but does not limit, the meaning of the provision in which it appears (see </w:t>
      </w:r>
      <w:hyperlink r:id="rId72" w:tooltip="A2001-14" w:history="1">
        <w:r w:rsidR="000812EE" w:rsidRPr="000812EE">
          <w:rPr>
            <w:rStyle w:val="charCitHyperlinkAbbrev"/>
          </w:rPr>
          <w:t>Legislation Act</w:t>
        </w:r>
      </w:hyperlink>
      <w:r>
        <w:t>, s 126 and s 132).</w:t>
      </w:r>
    </w:p>
    <w:p w:rsidR="009720B3" w:rsidRDefault="009720B3">
      <w:pPr>
        <w:pStyle w:val="AH5Sec"/>
      </w:pPr>
      <w:bookmarkStart w:id="87" w:name="_Toc532221265"/>
      <w:r w:rsidRPr="00B043CD">
        <w:rPr>
          <w:rStyle w:val="CharSectNo"/>
        </w:rPr>
        <w:t>65</w:t>
      </w:r>
      <w:r>
        <w:tab/>
        <w:t>Guidelines for approving contributions as sport and recreation community contributions—Act, s164 (2) (a)</w:t>
      </w:r>
      <w:bookmarkEnd w:id="87"/>
    </w:p>
    <w:p w:rsidR="009720B3" w:rsidRDefault="009720B3">
      <w:pPr>
        <w:pStyle w:val="Amain"/>
      </w:pPr>
      <w:r>
        <w:tab/>
        <w:t>(1)</w:t>
      </w:r>
      <w:r>
        <w:tab/>
        <w:t>The commission may approve a contribution as a sport and recreation community contribution only if the contribution is made to promote, develop or encourage sport or sporting or recreational activities.</w:t>
      </w:r>
    </w:p>
    <w:p w:rsidR="009720B3" w:rsidRDefault="00070B4D">
      <w:pPr>
        <w:pStyle w:val="aExamHdgss"/>
      </w:pPr>
      <w:r>
        <w:t>Examples—</w:t>
      </w:r>
      <w:r w:rsidR="009720B3">
        <w:t>promoting or developing sport or sporting activities</w:t>
      </w:r>
    </w:p>
    <w:p w:rsidR="009720B3" w:rsidRDefault="009720B3">
      <w:pPr>
        <w:pStyle w:val="aExamINumss"/>
      </w:pPr>
      <w:r>
        <w:t>1</w:t>
      </w:r>
      <w:r>
        <w:tab/>
        <w:t>junior coaching sessions for a sport</w:t>
      </w:r>
    </w:p>
    <w:p w:rsidR="009720B3" w:rsidRDefault="009720B3">
      <w:pPr>
        <w:pStyle w:val="aExamINumss"/>
      </w:pPr>
      <w:r>
        <w:t>2</w:t>
      </w:r>
      <w:r>
        <w:tab/>
        <w:t>sports skills seminars</w:t>
      </w:r>
    </w:p>
    <w:p w:rsidR="009720B3" w:rsidRDefault="009720B3">
      <w:pPr>
        <w:pStyle w:val="aExamINumss"/>
        <w:keepNext/>
      </w:pPr>
      <w:r>
        <w:t>3</w:t>
      </w:r>
      <w:r>
        <w:tab/>
        <w:t>workshops to increase sports skills</w:t>
      </w:r>
    </w:p>
    <w:p w:rsidR="009720B3" w:rsidRDefault="009720B3">
      <w:pPr>
        <w:pStyle w:val="aNote"/>
      </w:pPr>
      <w:r>
        <w:rPr>
          <w:rStyle w:val="charItals"/>
        </w:rPr>
        <w:t>Note</w:t>
      </w:r>
      <w:r>
        <w:tab/>
        <w:t xml:space="preserve">An example is part of the regulation, is not exhaustive and may extend, but does not limit, the meaning of the provision in which it appears (see </w:t>
      </w:r>
      <w:hyperlink r:id="rId73" w:tooltip="A2001-14" w:history="1">
        <w:r w:rsidR="000812EE" w:rsidRPr="000812EE">
          <w:rPr>
            <w:rStyle w:val="charCitHyperlinkAbbrev"/>
          </w:rPr>
          <w:t>Legislation Act</w:t>
        </w:r>
      </w:hyperlink>
      <w:r>
        <w:t>, s 126 and s 132).</w:t>
      </w:r>
    </w:p>
    <w:p w:rsidR="009720B3" w:rsidRDefault="009720B3">
      <w:pPr>
        <w:pStyle w:val="Amain"/>
        <w:keepNext/>
      </w:pPr>
      <w:r>
        <w:tab/>
        <w:t>(2)</w:t>
      </w:r>
      <w:r>
        <w:tab/>
        <w:t>For this section, the following contributions promote, develop or encourage sport or sporting activities:</w:t>
      </w:r>
    </w:p>
    <w:p w:rsidR="009720B3" w:rsidRDefault="009720B3">
      <w:pPr>
        <w:pStyle w:val="Apara"/>
      </w:pPr>
      <w:r>
        <w:tab/>
        <w:t>(a)</w:t>
      </w:r>
      <w:r>
        <w:tab/>
        <w:t>payment of a sportsperson’s wages or expenses;</w:t>
      </w:r>
    </w:p>
    <w:p w:rsidR="009720B3" w:rsidRDefault="009720B3">
      <w:pPr>
        <w:pStyle w:val="Apara"/>
      </w:pPr>
      <w:r>
        <w:tab/>
        <w:t>(b)</w:t>
      </w:r>
      <w:r>
        <w:tab/>
        <w:t>payment for sports uniforms and equipment;</w:t>
      </w:r>
    </w:p>
    <w:p w:rsidR="009720B3" w:rsidRDefault="009720B3">
      <w:pPr>
        <w:pStyle w:val="Apara"/>
      </w:pPr>
      <w:r>
        <w:lastRenderedPageBreak/>
        <w:tab/>
        <w:t>(c)</w:t>
      </w:r>
      <w:r>
        <w:tab/>
        <w:t>payment for sporting coaches and umpires (however described);</w:t>
      </w:r>
    </w:p>
    <w:p w:rsidR="009720B3" w:rsidRDefault="009720B3">
      <w:pPr>
        <w:pStyle w:val="Apara"/>
      </w:pPr>
      <w:r>
        <w:tab/>
        <w:t>(d)</w:t>
      </w:r>
      <w:r>
        <w:tab/>
        <w:t>maintenance of sporting facilities that are available to the public, whether generally available or only for limited periods;</w:t>
      </w:r>
    </w:p>
    <w:p w:rsidR="009720B3" w:rsidRDefault="009720B3">
      <w:pPr>
        <w:pStyle w:val="Apara"/>
        <w:rPr>
          <w:lang w:val="en-GB"/>
        </w:rPr>
      </w:pPr>
      <w:r>
        <w:rPr>
          <w:lang w:val="en-GB"/>
        </w:rPr>
        <w:tab/>
        <w:t>(e)</w:t>
      </w:r>
      <w:r>
        <w:rPr>
          <w:lang w:val="en-GB"/>
        </w:rPr>
        <w:tab/>
      </w:r>
      <w:r>
        <w:t>payments to an entity that promotes or develops sport or sporting activities, whether or not the entity is part of the licensee or, if the licensee is a club, an associated organisation.</w:t>
      </w:r>
    </w:p>
    <w:p w:rsidR="009720B3" w:rsidRDefault="0008401E">
      <w:pPr>
        <w:pStyle w:val="aExamHdgpar"/>
      </w:pPr>
      <w:r>
        <w:t>Examples—</w:t>
      </w:r>
      <w:r w:rsidR="009720B3">
        <w:t>entities for par (e)</w:t>
      </w:r>
    </w:p>
    <w:p w:rsidR="009720B3" w:rsidRDefault="009720B3">
      <w:pPr>
        <w:pStyle w:val="aExampar"/>
      </w:pPr>
      <w:r>
        <w:t>1</w:t>
      </w:r>
      <w:r>
        <w:tab/>
        <w:t>soccer club</w:t>
      </w:r>
    </w:p>
    <w:p w:rsidR="009720B3" w:rsidRDefault="009720B3">
      <w:pPr>
        <w:pStyle w:val="aExampar"/>
      </w:pPr>
      <w:r>
        <w:t>2</w:t>
      </w:r>
      <w:r>
        <w:tab/>
        <w:t>darts club</w:t>
      </w:r>
    </w:p>
    <w:p w:rsidR="009720B3" w:rsidRDefault="009720B3">
      <w:pPr>
        <w:pStyle w:val="aExampar"/>
      </w:pPr>
      <w:r>
        <w:t>3</w:t>
      </w:r>
      <w:r>
        <w:tab/>
        <w:t>snooker club</w:t>
      </w:r>
    </w:p>
    <w:p w:rsidR="009720B3" w:rsidRDefault="009720B3">
      <w:pPr>
        <w:pStyle w:val="Amain"/>
        <w:keepNext/>
      </w:pPr>
      <w:r>
        <w:tab/>
        <w:t>(3)</w:t>
      </w:r>
      <w:r>
        <w:tab/>
        <w:t>Without limiting subsections (1) and (2), the following contributions promote, develop or encourage women’s sport:</w:t>
      </w:r>
    </w:p>
    <w:p w:rsidR="009720B3" w:rsidRDefault="009720B3">
      <w:pPr>
        <w:pStyle w:val="Apara"/>
      </w:pPr>
      <w:r>
        <w:tab/>
        <w:t>(a)</w:t>
      </w:r>
      <w:r>
        <w:tab/>
        <w:t>payment for women’s sporting teams;</w:t>
      </w:r>
    </w:p>
    <w:p w:rsidR="009720B3" w:rsidRDefault="009720B3">
      <w:pPr>
        <w:pStyle w:val="Apara"/>
      </w:pPr>
      <w:r>
        <w:tab/>
        <w:t>(b)</w:t>
      </w:r>
      <w:r>
        <w:tab/>
        <w:t>payment for women’s sporting events or programs;</w:t>
      </w:r>
    </w:p>
    <w:p w:rsidR="009720B3" w:rsidRDefault="009720B3">
      <w:pPr>
        <w:pStyle w:val="Apara"/>
      </w:pPr>
      <w:r>
        <w:tab/>
        <w:t>(c)</w:t>
      </w:r>
      <w:r>
        <w:tab/>
        <w:t>payment for coaching, equipment, training or insurance for women’s sporting activities.</w:t>
      </w:r>
    </w:p>
    <w:p w:rsidR="009720B3" w:rsidRDefault="009720B3">
      <w:pPr>
        <w:pStyle w:val="Amain"/>
      </w:pPr>
      <w:r>
        <w:tab/>
        <w:t>(4)</w:t>
      </w:r>
      <w:r>
        <w:tab/>
        <w:t>Subsections (2) and (3) do not limit the kinds of contributions that promote, develop or encourage sport and sporting activities.</w:t>
      </w:r>
    </w:p>
    <w:p w:rsidR="009720B3" w:rsidRDefault="009720B3">
      <w:pPr>
        <w:pStyle w:val="Amain"/>
        <w:keepNext/>
        <w:rPr>
          <w:lang w:val="en-GB"/>
        </w:rPr>
      </w:pPr>
      <w:r>
        <w:rPr>
          <w:lang w:val="en-GB"/>
        </w:rPr>
        <w:tab/>
        <w:t>(5)</w:t>
      </w:r>
      <w:r>
        <w:rPr>
          <w:lang w:val="en-GB"/>
        </w:rPr>
        <w:tab/>
      </w:r>
      <w:r>
        <w:t>For this section, the following contributions promote, develop or encourage recreational activities:</w:t>
      </w:r>
    </w:p>
    <w:p w:rsidR="009720B3" w:rsidRDefault="009720B3">
      <w:pPr>
        <w:pStyle w:val="Apara"/>
        <w:rPr>
          <w:lang w:val="en-GB"/>
        </w:rPr>
      </w:pPr>
      <w:r>
        <w:rPr>
          <w:lang w:val="en-GB"/>
        </w:rPr>
        <w:tab/>
        <w:t>(a)</w:t>
      </w:r>
      <w:r>
        <w:rPr>
          <w:lang w:val="en-GB"/>
        </w:rPr>
        <w:tab/>
      </w:r>
      <w:r>
        <w:t>maintenance of recreational facilities that are available to the public, whether generally available or only for limited periods;</w:t>
      </w:r>
    </w:p>
    <w:p w:rsidR="009720B3" w:rsidRDefault="009720B3">
      <w:pPr>
        <w:pStyle w:val="Apara"/>
        <w:rPr>
          <w:lang w:val="en-GB"/>
        </w:rPr>
      </w:pPr>
      <w:r>
        <w:rPr>
          <w:lang w:val="en-GB"/>
        </w:rPr>
        <w:tab/>
        <w:t>(b)</w:t>
      </w:r>
      <w:r>
        <w:rPr>
          <w:lang w:val="en-GB"/>
        </w:rPr>
        <w:tab/>
      </w:r>
      <w:r>
        <w:t>support for recreational activities or events that are available to the public, for example, bushwalking or orienteering;</w:t>
      </w:r>
    </w:p>
    <w:p w:rsidR="009720B3" w:rsidRDefault="009720B3" w:rsidP="00B02496">
      <w:pPr>
        <w:pStyle w:val="Apara"/>
        <w:keepNext/>
        <w:rPr>
          <w:lang w:val="en-GB"/>
        </w:rPr>
      </w:pPr>
      <w:r>
        <w:rPr>
          <w:lang w:val="en-GB"/>
        </w:rPr>
        <w:lastRenderedPageBreak/>
        <w:tab/>
        <w:t>(c)</w:t>
      </w:r>
      <w:r>
        <w:rPr>
          <w:lang w:val="en-GB"/>
        </w:rPr>
        <w:tab/>
      </w:r>
      <w:r>
        <w:t>payments to an entity that promotes or develops recreational activities, whether or not the entity is part of the licensee or, if the licensee is a club, an associated organisation.</w:t>
      </w:r>
    </w:p>
    <w:p w:rsidR="009720B3" w:rsidRDefault="0008401E" w:rsidP="00B02496">
      <w:pPr>
        <w:pStyle w:val="aExamHdgpar"/>
      </w:pPr>
      <w:r>
        <w:t>Examples—</w:t>
      </w:r>
      <w:r w:rsidR="009720B3">
        <w:t>entities for par (c)</w:t>
      </w:r>
    </w:p>
    <w:p w:rsidR="009720B3" w:rsidRDefault="009720B3" w:rsidP="00B02496">
      <w:pPr>
        <w:pStyle w:val="aExampar"/>
        <w:keepNext/>
      </w:pPr>
      <w:r>
        <w:t>1</w:t>
      </w:r>
      <w:r>
        <w:tab/>
        <w:t>bridge club</w:t>
      </w:r>
    </w:p>
    <w:p w:rsidR="009720B3" w:rsidRDefault="009720B3">
      <w:pPr>
        <w:pStyle w:val="aExampar"/>
      </w:pPr>
      <w:r>
        <w:t>2</w:t>
      </w:r>
      <w:r>
        <w:tab/>
        <w:t>fishing club</w:t>
      </w:r>
    </w:p>
    <w:p w:rsidR="009720B3" w:rsidRDefault="009720B3">
      <w:pPr>
        <w:pStyle w:val="aExampar"/>
      </w:pPr>
      <w:r>
        <w:t>3</w:t>
      </w:r>
      <w:r>
        <w:tab/>
        <w:t>film club</w:t>
      </w:r>
    </w:p>
    <w:p w:rsidR="009720B3" w:rsidRDefault="009720B3">
      <w:pPr>
        <w:pStyle w:val="aExampar"/>
      </w:pPr>
      <w:r>
        <w:t>4</w:t>
      </w:r>
      <w:r>
        <w:tab/>
        <w:t>fitness club</w:t>
      </w:r>
    </w:p>
    <w:p w:rsidR="009720B3" w:rsidRDefault="009720B3">
      <w:pPr>
        <w:pStyle w:val="Amain"/>
      </w:pPr>
      <w:r>
        <w:tab/>
        <w:t>(6)</w:t>
      </w:r>
      <w:r>
        <w:tab/>
        <w:t>Subsection (5) does not limit the kinds of contributions that promote, develop or encourage recreational activities.</w:t>
      </w:r>
    </w:p>
    <w:p w:rsidR="009720B3" w:rsidRDefault="009720B3">
      <w:pPr>
        <w:pStyle w:val="AH5Sec"/>
      </w:pPr>
      <w:bookmarkStart w:id="88" w:name="_Toc532221266"/>
      <w:r w:rsidRPr="00B043CD">
        <w:rPr>
          <w:rStyle w:val="CharSectNo"/>
        </w:rPr>
        <w:t>66</w:t>
      </w:r>
      <w:r>
        <w:tab/>
        <w:t>Guidelines for approving contributions as non-profit activities community contributions—Act s 164 (2) (a)</w:t>
      </w:r>
      <w:bookmarkEnd w:id="88"/>
    </w:p>
    <w:p w:rsidR="009720B3" w:rsidRDefault="009720B3">
      <w:pPr>
        <w:pStyle w:val="Amainreturn"/>
      </w:pPr>
      <w:r>
        <w:t>The commission may approve a contribution as a non-profit activities community contribution only if the contribution—</w:t>
      </w:r>
    </w:p>
    <w:p w:rsidR="009720B3" w:rsidRDefault="009720B3">
      <w:pPr>
        <w:pStyle w:val="Apara"/>
      </w:pPr>
      <w:r>
        <w:tab/>
        <w:t>(a)</w:t>
      </w:r>
      <w:r>
        <w:tab/>
        <w:t>is made for a non-profit, non-political activity that benefits the community; or</w:t>
      </w:r>
    </w:p>
    <w:p w:rsidR="009720B3" w:rsidRDefault="009720B3">
      <w:pPr>
        <w:pStyle w:val="aNotepar"/>
      </w:pPr>
      <w:r>
        <w:rPr>
          <w:rStyle w:val="charItals"/>
        </w:rPr>
        <w:t>Note</w:t>
      </w:r>
      <w:r>
        <w:rPr>
          <w:rStyle w:val="charItals"/>
        </w:rPr>
        <w:tab/>
      </w:r>
      <w:r>
        <w:rPr>
          <w:rStyle w:val="charBoldItals"/>
        </w:rPr>
        <w:t>Community</w:t>
      </w:r>
      <w:r>
        <w:t xml:space="preserve">—see the </w:t>
      </w:r>
      <w:hyperlink r:id="rId74" w:tooltip="A2004-34" w:history="1">
        <w:r w:rsidR="00F216C6" w:rsidRPr="00EB6445">
          <w:rPr>
            <w:rStyle w:val="charCitHyperlinkAbbrev"/>
          </w:rPr>
          <w:t>Act</w:t>
        </w:r>
      </w:hyperlink>
      <w:r>
        <w:t>, s 164 (3).</w:t>
      </w:r>
    </w:p>
    <w:p w:rsidR="009720B3" w:rsidRDefault="009720B3">
      <w:pPr>
        <w:pStyle w:val="Apara"/>
      </w:pPr>
      <w:r>
        <w:tab/>
        <w:t>(b)</w:t>
      </w:r>
      <w:r>
        <w:tab/>
        <w:t>is made to an entity for an activity that is non-political and, in the commission’s opinion, is intended to develop a community, raise the standard of living of a community or help develop community spirit.</w:t>
      </w:r>
    </w:p>
    <w:p w:rsidR="009720B3" w:rsidRDefault="0008401E">
      <w:pPr>
        <w:pStyle w:val="aExamHdgss"/>
      </w:pPr>
      <w:r>
        <w:t>Examples—</w:t>
      </w:r>
      <w:r w:rsidR="009720B3">
        <w:t>eligible contributions</w:t>
      </w:r>
    </w:p>
    <w:p w:rsidR="009720B3" w:rsidRDefault="009720B3">
      <w:pPr>
        <w:pStyle w:val="aExamINumss"/>
        <w:rPr>
          <w:lang w:val="en-GB"/>
        </w:rPr>
      </w:pPr>
      <w:r>
        <w:rPr>
          <w:lang w:val="en-GB"/>
        </w:rPr>
        <w:t>1</w:t>
      </w:r>
      <w:r>
        <w:rPr>
          <w:lang w:val="en-GB"/>
        </w:rPr>
        <w:tab/>
        <w:t>contributions to schools or other educational institutions or programs</w:t>
      </w:r>
    </w:p>
    <w:p w:rsidR="009720B3" w:rsidRDefault="009720B3">
      <w:pPr>
        <w:pStyle w:val="aExamINumss"/>
      </w:pPr>
      <w:r>
        <w:t>2</w:t>
      </w:r>
      <w:r>
        <w:tab/>
        <w:t>scholarships that are otherwise eligible contributions</w:t>
      </w:r>
    </w:p>
    <w:p w:rsidR="009720B3" w:rsidRDefault="009720B3">
      <w:pPr>
        <w:pStyle w:val="aExamINumss"/>
      </w:pPr>
      <w:r>
        <w:t>3</w:t>
      </w:r>
      <w:r>
        <w:tab/>
        <w:t>contributions to ethnic organisations for multicultural activities</w:t>
      </w:r>
    </w:p>
    <w:p w:rsidR="009720B3" w:rsidRDefault="009720B3">
      <w:pPr>
        <w:pStyle w:val="aExamINumss"/>
      </w:pPr>
      <w:r>
        <w:t>4</w:t>
      </w:r>
      <w:r>
        <w:tab/>
        <w:t>support for events to develop community spirit or participation</w:t>
      </w:r>
    </w:p>
    <w:p w:rsidR="009720B3" w:rsidRDefault="009720B3">
      <w:pPr>
        <w:pStyle w:val="aExamINumss"/>
      </w:pPr>
      <w:r>
        <w:t>5</w:t>
      </w:r>
      <w:r>
        <w:tab/>
        <w:t>special services or celebrations, such as ANZAC Day, Canberra Day and Australia Day</w:t>
      </w:r>
    </w:p>
    <w:p w:rsidR="009720B3" w:rsidRDefault="009720B3" w:rsidP="00FD1C42">
      <w:pPr>
        <w:pStyle w:val="aExamINumss"/>
        <w:keepNext/>
      </w:pPr>
      <w:r>
        <w:lastRenderedPageBreak/>
        <w:t>6</w:t>
      </w:r>
      <w:r>
        <w:tab/>
        <w:t>significant ACT public events</w:t>
      </w:r>
    </w:p>
    <w:p w:rsidR="009720B3" w:rsidRDefault="009720B3" w:rsidP="00FD1C42">
      <w:pPr>
        <w:pStyle w:val="aExamINumss"/>
        <w:keepNext/>
      </w:pPr>
      <w:r>
        <w:t>7</w:t>
      </w:r>
      <w:r>
        <w:tab/>
        <w:t>contributions to volunteer organisations that provide benevolent or community related services</w:t>
      </w:r>
    </w:p>
    <w:p w:rsidR="009720B3" w:rsidRDefault="009720B3">
      <w:pPr>
        <w:pStyle w:val="aNote"/>
      </w:pPr>
      <w:r>
        <w:rPr>
          <w:rStyle w:val="charItals"/>
        </w:rPr>
        <w:t>Note</w:t>
      </w:r>
      <w:r>
        <w:tab/>
        <w:t xml:space="preserve">An example is part of the regulation, is not exhaustive and may extend, but does not limit, the meaning of the provision in which it appears (see </w:t>
      </w:r>
      <w:hyperlink r:id="rId75" w:tooltip="A2001-14" w:history="1">
        <w:r w:rsidR="000812EE" w:rsidRPr="000812EE">
          <w:rPr>
            <w:rStyle w:val="charCitHyperlinkAbbrev"/>
          </w:rPr>
          <w:t>Legislation Act</w:t>
        </w:r>
      </w:hyperlink>
      <w:r>
        <w:t>, s 126 and s 132).</w:t>
      </w:r>
    </w:p>
    <w:p w:rsidR="009720B3" w:rsidRDefault="009720B3">
      <w:pPr>
        <w:pStyle w:val="AH5Sec"/>
      </w:pPr>
      <w:bookmarkStart w:id="89" w:name="_Toc532221267"/>
      <w:r w:rsidRPr="00B043CD">
        <w:rPr>
          <w:rStyle w:val="CharSectNo"/>
        </w:rPr>
        <w:t>67</w:t>
      </w:r>
      <w:r>
        <w:tab/>
        <w:t>Guidelines for approving contributions as community infrastructure community contributions—Act, s 164 (2) (a)</w:t>
      </w:r>
      <w:bookmarkEnd w:id="89"/>
    </w:p>
    <w:p w:rsidR="009720B3" w:rsidRDefault="009720B3">
      <w:pPr>
        <w:pStyle w:val="Amainreturn"/>
      </w:pPr>
      <w:r>
        <w:t>The commission may approve a contribution as a community infrastructure community contribution only if the contribution—</w:t>
      </w:r>
    </w:p>
    <w:p w:rsidR="009720B3" w:rsidRDefault="009720B3">
      <w:pPr>
        <w:pStyle w:val="Apara"/>
      </w:pPr>
      <w:r>
        <w:tab/>
        <w:t>(a)</w:t>
      </w:r>
      <w:r>
        <w:tab/>
        <w:t>is made for the construction or development of infrastructure for, or for use by, a community; and</w:t>
      </w:r>
    </w:p>
    <w:p w:rsidR="009720B3" w:rsidRDefault="009720B3">
      <w:pPr>
        <w:pStyle w:val="aNotepar"/>
      </w:pPr>
      <w:r>
        <w:rPr>
          <w:rStyle w:val="charItals"/>
        </w:rPr>
        <w:t>Note</w:t>
      </w:r>
      <w:r>
        <w:rPr>
          <w:rStyle w:val="charItals"/>
        </w:rPr>
        <w:tab/>
      </w:r>
      <w:r>
        <w:rPr>
          <w:rStyle w:val="charBoldItals"/>
        </w:rPr>
        <w:t>Community</w:t>
      </w:r>
      <w:r>
        <w:t xml:space="preserve">—see the </w:t>
      </w:r>
      <w:hyperlink r:id="rId76" w:tooltip="A2004-34" w:history="1">
        <w:r w:rsidR="00F216C6" w:rsidRPr="00EB6445">
          <w:rPr>
            <w:rStyle w:val="charCitHyperlinkAbbrev"/>
          </w:rPr>
          <w:t>Act</w:t>
        </w:r>
      </w:hyperlink>
      <w:r>
        <w:t>, s 164 (3).</w:t>
      </w:r>
    </w:p>
    <w:p w:rsidR="009720B3" w:rsidRDefault="009720B3">
      <w:pPr>
        <w:pStyle w:val="Apara"/>
      </w:pPr>
      <w:r>
        <w:tab/>
        <w:t>(b)</w:t>
      </w:r>
      <w:r>
        <w:tab/>
        <w:t>is intended to result in the development of an asset.</w:t>
      </w:r>
    </w:p>
    <w:p w:rsidR="009720B3" w:rsidRDefault="009720B3">
      <w:pPr>
        <w:pStyle w:val="aExamHdgss"/>
      </w:pPr>
      <w:r>
        <w:t>Example of eligible contributions</w:t>
      </w:r>
    </w:p>
    <w:p w:rsidR="009720B3" w:rsidRDefault="009720B3">
      <w:pPr>
        <w:pStyle w:val="aExamss"/>
        <w:keepNext/>
      </w:pPr>
      <w:r>
        <w:t>expenses to design, build or upgrade sporting ovals, grandstands, oval lighting, museums, art galleries, playgrounds, public car parks, parklands or gymnasiums</w:t>
      </w:r>
    </w:p>
    <w:p w:rsidR="009720B3" w:rsidRDefault="009720B3">
      <w:pPr>
        <w:pStyle w:val="aNote"/>
      </w:pPr>
      <w:r>
        <w:rPr>
          <w:rStyle w:val="charItals"/>
        </w:rPr>
        <w:t>Note</w:t>
      </w:r>
      <w:r>
        <w:rPr>
          <w:rStyle w:val="charItals"/>
        </w:rPr>
        <w:tab/>
      </w:r>
      <w:r>
        <w:t xml:space="preserve">An example is part of the regulation, is not exhaustive and may extend, but does not limit, the meaning of the provision in which it appears (see </w:t>
      </w:r>
      <w:hyperlink r:id="rId77" w:tooltip="A2001-14" w:history="1">
        <w:r w:rsidR="000812EE" w:rsidRPr="000812EE">
          <w:rPr>
            <w:rStyle w:val="charCitHyperlinkAbbrev"/>
          </w:rPr>
          <w:t>Legislation Act</w:t>
        </w:r>
      </w:hyperlink>
      <w:r>
        <w:t>, s 126 and s 132).</w:t>
      </w:r>
    </w:p>
    <w:p w:rsidR="009720B3" w:rsidRDefault="009720B3">
      <w:pPr>
        <w:pStyle w:val="AH5Sec"/>
      </w:pPr>
      <w:bookmarkStart w:id="90" w:name="_Toc532221268"/>
      <w:r w:rsidRPr="00B043CD">
        <w:rPr>
          <w:rStyle w:val="CharSectNo"/>
        </w:rPr>
        <w:t>68</w:t>
      </w:r>
      <w:r>
        <w:tab/>
        <w:t>Claiming contributions if income related to contribution—Act, s 164 (2)</w:t>
      </w:r>
      <w:bookmarkEnd w:id="90"/>
    </w:p>
    <w:p w:rsidR="009720B3" w:rsidRDefault="009720B3">
      <w:pPr>
        <w:pStyle w:val="Amain"/>
      </w:pPr>
      <w:r>
        <w:tab/>
        <w:t>(1)</w:t>
      </w:r>
      <w:r>
        <w:tab/>
        <w:t>This section applies to any community contribution by a licensee.</w:t>
      </w:r>
    </w:p>
    <w:p w:rsidR="009720B3" w:rsidRDefault="009720B3">
      <w:pPr>
        <w:pStyle w:val="Amain"/>
      </w:pPr>
      <w:r>
        <w:tab/>
        <w:t>(2)</w:t>
      </w:r>
      <w:r>
        <w:tab/>
        <w:t>If the licensee or, if the licensee is a club, an associated organisation receives an amount that is charged in relation to the activity or facility contributed to, the licensee may only claim the contribution if—</w:t>
      </w:r>
    </w:p>
    <w:p w:rsidR="009720B3" w:rsidRDefault="009720B3">
      <w:pPr>
        <w:pStyle w:val="Apara"/>
      </w:pPr>
      <w:r>
        <w:tab/>
        <w:t>(a)</w:t>
      </w:r>
      <w:r>
        <w:tab/>
        <w:t>the licensee has records that clearly identify the amount charged; and</w:t>
      </w:r>
    </w:p>
    <w:p w:rsidR="009720B3" w:rsidRDefault="009720B3">
      <w:pPr>
        <w:pStyle w:val="Apara"/>
      </w:pPr>
      <w:r>
        <w:tab/>
        <w:t>(b)</w:t>
      </w:r>
      <w:r>
        <w:tab/>
        <w:t>the amount charged is subtracted from the amount of the contribution.</w:t>
      </w:r>
    </w:p>
    <w:p w:rsidR="009720B3" w:rsidRDefault="009720B3">
      <w:pPr>
        <w:pStyle w:val="Amain"/>
        <w:keepNext/>
      </w:pPr>
      <w:r>
        <w:lastRenderedPageBreak/>
        <w:tab/>
        <w:t>(3)</w:t>
      </w:r>
      <w:r>
        <w:tab/>
        <w:t>In this section:</w:t>
      </w:r>
    </w:p>
    <w:p w:rsidR="009720B3" w:rsidRDefault="009720B3">
      <w:pPr>
        <w:pStyle w:val="aDef"/>
        <w:keepNext/>
      </w:pPr>
      <w:r>
        <w:rPr>
          <w:rStyle w:val="charBoldItals"/>
        </w:rPr>
        <w:t>charged</w:t>
      </w:r>
      <w:r>
        <w:t>, in relation to an activity or facility, includes an amount otherwise earned by the licensee in relation to the activity or facility.</w:t>
      </w:r>
    </w:p>
    <w:p w:rsidR="009720B3" w:rsidRDefault="00070B4D">
      <w:pPr>
        <w:pStyle w:val="aExamHdgss"/>
      </w:pPr>
      <w:r>
        <w:t>Examples—</w:t>
      </w:r>
      <w:r w:rsidR="009720B3">
        <w:t>charges or other amounts earned</w:t>
      </w:r>
    </w:p>
    <w:p w:rsidR="009720B3" w:rsidRDefault="009720B3">
      <w:pPr>
        <w:pStyle w:val="aExamINumss"/>
      </w:pPr>
      <w:r>
        <w:t>1</w:t>
      </w:r>
      <w:r>
        <w:tab/>
        <w:t>a charge for use of a facility</w:t>
      </w:r>
    </w:p>
    <w:p w:rsidR="009720B3" w:rsidRDefault="009720B3">
      <w:pPr>
        <w:pStyle w:val="aExamINumss"/>
        <w:keepNext/>
      </w:pPr>
      <w:r>
        <w:t>2</w:t>
      </w:r>
      <w:r>
        <w:tab/>
        <w:t>an entry fee</w:t>
      </w:r>
    </w:p>
    <w:p w:rsidR="009720B3" w:rsidRDefault="009720B3">
      <w:pPr>
        <w:pStyle w:val="aNote"/>
      </w:pPr>
      <w:r>
        <w:rPr>
          <w:rStyle w:val="charItals"/>
        </w:rPr>
        <w:t>Note</w:t>
      </w:r>
      <w:r>
        <w:rPr>
          <w:rStyle w:val="charItals"/>
        </w:rPr>
        <w:tab/>
      </w:r>
      <w:r>
        <w:t xml:space="preserve">An example is part of the regulation, is not exhaustive and may extend, but does not limit, the meaning of the provision in which it appears (see </w:t>
      </w:r>
      <w:hyperlink r:id="rId78" w:tooltip="A2001-14" w:history="1">
        <w:r w:rsidR="000812EE" w:rsidRPr="000812EE">
          <w:rPr>
            <w:rStyle w:val="charCitHyperlinkAbbrev"/>
          </w:rPr>
          <w:t>Legislation Act</w:t>
        </w:r>
      </w:hyperlink>
      <w:r>
        <w:t>, s 126 and s 132).</w:t>
      </w:r>
    </w:p>
    <w:p w:rsidR="009720B3" w:rsidRDefault="009720B3">
      <w:pPr>
        <w:pStyle w:val="AH5Sec"/>
      </w:pPr>
      <w:bookmarkStart w:id="91" w:name="_Toc532221269"/>
      <w:r w:rsidRPr="00B043CD">
        <w:rPr>
          <w:rStyle w:val="CharSectNo"/>
        </w:rPr>
        <w:t>69</w:t>
      </w:r>
      <w:r>
        <w:tab/>
        <w:t>Timing of claiming contributions—Act, s 164 (2)</w:t>
      </w:r>
      <w:bookmarkEnd w:id="91"/>
    </w:p>
    <w:p w:rsidR="009720B3" w:rsidRDefault="009720B3">
      <w:pPr>
        <w:pStyle w:val="Amain"/>
      </w:pPr>
      <w:r>
        <w:tab/>
        <w:t>(1)</w:t>
      </w:r>
      <w:r>
        <w:tab/>
        <w:t>This section applies to a community contribution other than an in-kind contribution.</w:t>
      </w:r>
    </w:p>
    <w:p w:rsidR="009720B3" w:rsidRDefault="009720B3">
      <w:pPr>
        <w:pStyle w:val="Amain"/>
      </w:pPr>
      <w:r>
        <w:tab/>
        <w:t>(2)</w:t>
      </w:r>
      <w:r>
        <w:tab/>
        <w:t>To remove any doubt, a contribution that is an amount is made when the amount is given, not when the thing for which the amount is given is provided or agreed to.</w:t>
      </w:r>
    </w:p>
    <w:p w:rsidR="009720B3" w:rsidRDefault="009720B3">
      <w:pPr>
        <w:pStyle w:val="aExamHdgss"/>
      </w:pPr>
      <w:r>
        <w:t>Examples</w:t>
      </w:r>
    </w:p>
    <w:p w:rsidR="009720B3" w:rsidRDefault="009720B3">
      <w:pPr>
        <w:pStyle w:val="aExamINumss"/>
      </w:pPr>
      <w:r>
        <w:t>1</w:t>
      </w:r>
      <w:r>
        <w:tab/>
        <w:t>If an agreement to sponsor a team is made in June 2005 but the 1st payment is not made until July 2005, the community contribution cannot be claimed until the 2005-06 financial year.</w:t>
      </w:r>
    </w:p>
    <w:p w:rsidR="009720B3" w:rsidRDefault="009720B3">
      <w:pPr>
        <w:pStyle w:val="aExamINumss"/>
        <w:keepNext/>
      </w:pPr>
      <w:r>
        <w:t>2</w:t>
      </w:r>
      <w:r>
        <w:tab/>
        <w:t>If an item is paid for in June 2005 but is not delivered or conducted until July 2005, the community contribution must be claimed in the 2004</w:t>
      </w:r>
      <w:r>
        <w:noBreakHyphen/>
        <w:t>05 financial year.</w:t>
      </w:r>
    </w:p>
    <w:p w:rsidR="009720B3" w:rsidRDefault="009720B3">
      <w:pPr>
        <w:pStyle w:val="aNote"/>
      </w:pPr>
      <w:r>
        <w:rPr>
          <w:rStyle w:val="charItals"/>
        </w:rPr>
        <w:t>Note</w:t>
      </w:r>
      <w:r>
        <w:rPr>
          <w:rStyle w:val="charItals"/>
        </w:rPr>
        <w:tab/>
      </w:r>
      <w:r>
        <w:t xml:space="preserve">An example is part of the regulation, is not exhaustive and may extend, but does not limit, the meaning of the provision in which it appears (see </w:t>
      </w:r>
      <w:hyperlink r:id="rId79" w:tooltip="A2001-14" w:history="1">
        <w:r w:rsidR="000812EE" w:rsidRPr="000812EE">
          <w:rPr>
            <w:rStyle w:val="charCitHyperlinkAbbrev"/>
          </w:rPr>
          <w:t>Legislation Act</w:t>
        </w:r>
      </w:hyperlink>
      <w:r>
        <w:t>, s 126 and s 132).</w:t>
      </w:r>
    </w:p>
    <w:p w:rsidR="009720B3" w:rsidRDefault="009720B3">
      <w:pPr>
        <w:pStyle w:val="AH5Sec"/>
      </w:pPr>
      <w:bookmarkStart w:id="92" w:name="_Toc532221270"/>
      <w:r w:rsidRPr="00B043CD">
        <w:rPr>
          <w:rStyle w:val="CharSectNo"/>
        </w:rPr>
        <w:t>70</w:t>
      </w:r>
      <w:r>
        <w:tab/>
        <w:t>Claiming in-kind contributions—Act, s 164 (2)</w:t>
      </w:r>
      <w:bookmarkEnd w:id="92"/>
    </w:p>
    <w:p w:rsidR="009720B3" w:rsidRDefault="009720B3">
      <w:pPr>
        <w:pStyle w:val="Amainreturn"/>
        <w:keepNext/>
      </w:pPr>
      <w:r>
        <w:t>A licensee may claim a contribution other than a monetary contribution as a community contribution only if the licensee has records that—</w:t>
      </w:r>
    </w:p>
    <w:p w:rsidR="009720B3" w:rsidRDefault="009720B3">
      <w:pPr>
        <w:pStyle w:val="Apara"/>
      </w:pPr>
      <w:r>
        <w:tab/>
        <w:t>(a)</w:t>
      </w:r>
      <w:r>
        <w:tab/>
        <w:t>set out how the value of the contribution was worked out; and</w:t>
      </w:r>
    </w:p>
    <w:p w:rsidR="009720B3" w:rsidRDefault="009720B3">
      <w:pPr>
        <w:pStyle w:val="Apara"/>
        <w:keepNext/>
      </w:pPr>
      <w:r>
        <w:lastRenderedPageBreak/>
        <w:tab/>
        <w:t>(b)</w:t>
      </w:r>
      <w:r>
        <w:tab/>
        <w:t>provides evidence that the value worked out is based on the cost of providing the contribution or the market value of the contribution.</w:t>
      </w:r>
    </w:p>
    <w:p w:rsidR="009720B3" w:rsidRDefault="0008401E">
      <w:pPr>
        <w:pStyle w:val="aExamHdgpar"/>
      </w:pPr>
      <w:r>
        <w:t>Examples—</w:t>
      </w:r>
      <w:r w:rsidR="009720B3">
        <w:t>contributions</w:t>
      </w:r>
    </w:p>
    <w:p w:rsidR="009720B3" w:rsidRDefault="009720B3">
      <w:pPr>
        <w:pStyle w:val="AExamIPara"/>
      </w:pPr>
      <w:r>
        <w:tab/>
        <w:t>1</w:t>
      </w:r>
      <w:r>
        <w:tab/>
        <w:t>discounts on the usual selling or supply price of goods or services provided by licensee</w:t>
      </w:r>
    </w:p>
    <w:p w:rsidR="009720B3" w:rsidRDefault="009720B3">
      <w:pPr>
        <w:pStyle w:val="AExamIPara"/>
      </w:pPr>
      <w:r>
        <w:tab/>
        <w:t>2</w:t>
      </w:r>
      <w:r>
        <w:tab/>
        <w:t>free or subsidised use of licensee’s facilities or equipment if the value of the contribution is worked out in relation to the usual hire fee</w:t>
      </w:r>
    </w:p>
    <w:p w:rsidR="009720B3" w:rsidRDefault="009720B3">
      <w:pPr>
        <w:pStyle w:val="aNotepar"/>
      </w:pPr>
      <w:r>
        <w:rPr>
          <w:rStyle w:val="charItals"/>
        </w:rPr>
        <w:t>Note</w:t>
      </w:r>
      <w:r>
        <w:rPr>
          <w:rStyle w:val="charItals"/>
        </w:rPr>
        <w:tab/>
      </w:r>
      <w:r>
        <w:t xml:space="preserve">An example is part of the regulation, is not exhaustive and may extend, but does not limit, the meaning of the provision in which it appears (see </w:t>
      </w:r>
      <w:hyperlink r:id="rId80" w:tooltip="A2001-14" w:history="1">
        <w:r w:rsidR="000812EE" w:rsidRPr="000812EE">
          <w:rPr>
            <w:rStyle w:val="charCitHyperlinkAbbrev"/>
          </w:rPr>
          <w:t>Legislation Act</w:t>
        </w:r>
      </w:hyperlink>
      <w:r>
        <w:t>, s 126 and s 132).</w:t>
      </w:r>
    </w:p>
    <w:p w:rsidR="009720B3" w:rsidRDefault="009720B3">
      <w:pPr>
        <w:pStyle w:val="PageBreak"/>
      </w:pPr>
      <w:r>
        <w:br w:type="page"/>
      </w:r>
    </w:p>
    <w:p w:rsidR="00EF1222" w:rsidRPr="00B043CD" w:rsidRDefault="00EF1222" w:rsidP="00EF1222">
      <w:pPr>
        <w:pStyle w:val="AH2Part"/>
      </w:pPr>
      <w:bookmarkStart w:id="93" w:name="_Toc532221271"/>
      <w:r w:rsidRPr="00B043CD">
        <w:rPr>
          <w:rStyle w:val="CharPartNo"/>
        </w:rPr>
        <w:lastRenderedPageBreak/>
        <w:t>Part 9A</w:t>
      </w:r>
      <w:r w:rsidRPr="00AE589E">
        <w:tab/>
      </w:r>
      <w:r w:rsidRPr="00B043CD">
        <w:rPr>
          <w:rStyle w:val="CharPartText"/>
        </w:rPr>
        <w:t>Storage of authorisations and gaming machines—permits</w:t>
      </w:r>
      <w:bookmarkEnd w:id="93"/>
    </w:p>
    <w:p w:rsidR="00EF1222" w:rsidRPr="00AE589E" w:rsidRDefault="00EF1222" w:rsidP="00EF1222">
      <w:pPr>
        <w:pStyle w:val="AH5Sec"/>
      </w:pPr>
      <w:bookmarkStart w:id="94" w:name="_Toc532221272"/>
      <w:r w:rsidRPr="00B043CD">
        <w:rPr>
          <w:rStyle w:val="CharSectNo"/>
        </w:rPr>
        <w:t>70A</w:t>
      </w:r>
      <w:r w:rsidRPr="00AE589E">
        <w:tab/>
      </w:r>
      <w:r w:rsidR="002C0630" w:rsidRPr="001847A1">
        <w:t xml:space="preserve">Form of </w:t>
      </w:r>
      <w:r w:rsidR="004B0023">
        <w:t xml:space="preserve">storage </w:t>
      </w:r>
      <w:r w:rsidR="002C0630" w:rsidRPr="001847A1">
        <w:t>permit—Act, s 127S (e)</w:t>
      </w:r>
      <w:bookmarkEnd w:id="94"/>
    </w:p>
    <w:p w:rsidR="00EF1222" w:rsidRPr="00AE589E" w:rsidRDefault="00EF1222" w:rsidP="00EF1222">
      <w:pPr>
        <w:pStyle w:val="Amainreturn"/>
      </w:pPr>
      <w:r w:rsidRPr="00AE589E">
        <w:t>The following information is prescribed:</w:t>
      </w:r>
    </w:p>
    <w:p w:rsidR="00EF1222" w:rsidRPr="00AE589E" w:rsidRDefault="00EF1222" w:rsidP="00EF1222">
      <w:pPr>
        <w:pStyle w:val="Apara"/>
      </w:pPr>
      <w:r w:rsidRPr="00AE589E">
        <w:tab/>
        <w:t>(a)</w:t>
      </w:r>
      <w:r w:rsidRPr="00AE589E">
        <w:tab/>
        <w:t>the location of each stored gaming machine;</w:t>
      </w:r>
    </w:p>
    <w:p w:rsidR="00EF1222" w:rsidRPr="00AE589E" w:rsidRDefault="00EF1222" w:rsidP="00EF1222">
      <w:pPr>
        <w:pStyle w:val="Apara"/>
      </w:pPr>
      <w:r w:rsidRPr="00AE589E">
        <w:tab/>
        <w:t>(b)</w:t>
      </w:r>
      <w:r w:rsidRPr="00AE589E">
        <w:tab/>
        <w:t xml:space="preserve">in the schedule to the </w:t>
      </w:r>
      <w:r w:rsidR="00031046" w:rsidRPr="009545D2">
        <w:t>storage permit</w:t>
      </w:r>
      <w:r w:rsidRPr="00AE589E">
        <w:t xml:space="preserve">, details about each gaming machine stored under the </w:t>
      </w:r>
      <w:r w:rsidR="00031046" w:rsidRPr="009545D2">
        <w:t>storage permit</w:t>
      </w:r>
      <w:r w:rsidRPr="00AE589E">
        <w:t>, including the following information:</w:t>
      </w:r>
    </w:p>
    <w:p w:rsidR="00EF1222" w:rsidRPr="00AE589E" w:rsidRDefault="00EF1222" w:rsidP="00EF1222">
      <w:pPr>
        <w:pStyle w:val="Asubpara"/>
      </w:pPr>
      <w:r w:rsidRPr="00AE589E">
        <w:tab/>
        <w:t>(i)</w:t>
      </w:r>
      <w:r w:rsidRPr="00AE589E">
        <w:tab/>
        <w:t>the name of the game installed in the gaming machine;</w:t>
      </w:r>
    </w:p>
    <w:p w:rsidR="00EF1222" w:rsidRPr="00AE589E" w:rsidRDefault="00EF1222" w:rsidP="00EF1222">
      <w:pPr>
        <w:pStyle w:val="Asubpara"/>
      </w:pPr>
      <w:r w:rsidRPr="00AE589E">
        <w:tab/>
        <w:t>(ii)</w:t>
      </w:r>
      <w:r w:rsidRPr="00AE589E">
        <w:tab/>
        <w:t>the date the game was installed or last amended;</w:t>
      </w:r>
    </w:p>
    <w:p w:rsidR="00EF1222" w:rsidRPr="00AE589E" w:rsidRDefault="00EF1222" w:rsidP="00EF1222">
      <w:pPr>
        <w:pStyle w:val="Asubpara"/>
      </w:pPr>
      <w:r w:rsidRPr="00AE589E">
        <w:tab/>
        <w:t>(iii)</w:t>
      </w:r>
      <w:r w:rsidRPr="00AE589E">
        <w:tab/>
        <w:t>the basic stake denomination;</w:t>
      </w:r>
    </w:p>
    <w:p w:rsidR="00EF1222" w:rsidRPr="00AE589E" w:rsidRDefault="00EF1222" w:rsidP="00EF1222">
      <w:pPr>
        <w:pStyle w:val="Asubpara"/>
      </w:pPr>
      <w:r w:rsidRPr="00AE589E">
        <w:tab/>
        <w:t>(iv)</w:t>
      </w:r>
      <w:r w:rsidRPr="00AE589E">
        <w:tab/>
        <w:t>the percentage payout.</w:t>
      </w:r>
    </w:p>
    <w:p w:rsidR="00BF0E92" w:rsidRPr="00BF0E92" w:rsidRDefault="00BF0E92" w:rsidP="00BF0E92">
      <w:pPr>
        <w:pStyle w:val="PageBreak"/>
      </w:pPr>
      <w:r w:rsidRPr="00BF0E92">
        <w:br w:type="page"/>
      </w:r>
    </w:p>
    <w:p w:rsidR="00BF0E92" w:rsidRPr="00B043CD" w:rsidRDefault="00BF0E92" w:rsidP="00BF0E92">
      <w:pPr>
        <w:pStyle w:val="AH2Part"/>
      </w:pPr>
      <w:bookmarkStart w:id="95" w:name="_Toc532221273"/>
      <w:r w:rsidRPr="00B043CD">
        <w:rPr>
          <w:rStyle w:val="CharPartNo"/>
        </w:rPr>
        <w:lastRenderedPageBreak/>
        <w:t>Part 9B</w:t>
      </w:r>
      <w:r w:rsidRPr="00292CFC">
        <w:tab/>
      </w:r>
      <w:r w:rsidRPr="00B043CD">
        <w:rPr>
          <w:rStyle w:val="CharPartText"/>
        </w:rPr>
        <w:t>Notifiable actions</w:t>
      </w:r>
      <w:bookmarkEnd w:id="95"/>
    </w:p>
    <w:p w:rsidR="00BF0E92" w:rsidRPr="00292CFC" w:rsidRDefault="00BF0E92" w:rsidP="00BF0E92">
      <w:pPr>
        <w:pStyle w:val="AH5Sec"/>
      </w:pPr>
      <w:bookmarkStart w:id="96" w:name="_Toc532221274"/>
      <w:r w:rsidRPr="00B043CD">
        <w:rPr>
          <w:rStyle w:val="CharSectNo"/>
        </w:rPr>
        <w:t>70B</w:t>
      </w:r>
      <w:r w:rsidRPr="00292CFC">
        <w:tab/>
        <w:t>Prescribed number of days—Act, s 173D (5)</w:t>
      </w:r>
      <w:bookmarkEnd w:id="96"/>
    </w:p>
    <w:p w:rsidR="00BF0E92" w:rsidRPr="00292CFC" w:rsidRDefault="00BF0E92" w:rsidP="00BF0E92">
      <w:pPr>
        <w:pStyle w:val="Amainreturn"/>
      </w:pPr>
      <w:r w:rsidRPr="00292CFC">
        <w:t xml:space="preserve">For </w:t>
      </w:r>
      <w:r>
        <w:t xml:space="preserve">the </w:t>
      </w:r>
      <w:hyperlink r:id="rId81" w:tooltip="A2004-34" w:history="1">
        <w:r w:rsidRPr="00AE589E">
          <w:rPr>
            <w:rStyle w:val="charCitHyperlinkAbbrev"/>
          </w:rPr>
          <w:t>Act</w:t>
        </w:r>
      </w:hyperlink>
      <w:r>
        <w:t xml:space="preserve">, </w:t>
      </w:r>
      <w:r w:rsidRPr="00292CFC">
        <w:t>section 173E (a) (Notifiable actions—date of effect), the prescribed number of days for a notifiable action under the following sections is 20 business days:</w:t>
      </w:r>
    </w:p>
    <w:p w:rsidR="00BF0E92" w:rsidRPr="00292CFC" w:rsidRDefault="00BF0E92" w:rsidP="00BF0E92">
      <w:pPr>
        <w:pStyle w:val="Apara"/>
      </w:pPr>
      <w:r w:rsidRPr="00292CFC">
        <w:tab/>
        <w:t>(a)</w:t>
      </w:r>
      <w:r w:rsidRPr="00292CFC">
        <w:tab/>
      </w:r>
      <w:r>
        <w:t xml:space="preserve">the </w:t>
      </w:r>
      <w:hyperlink r:id="rId82" w:tooltip="A2004-34" w:history="1">
        <w:r w:rsidRPr="00AE589E">
          <w:rPr>
            <w:rStyle w:val="charCitHyperlinkAbbrev"/>
          </w:rPr>
          <w:t>Act</w:t>
        </w:r>
      </w:hyperlink>
      <w:r>
        <w:t xml:space="preserve">, </w:t>
      </w:r>
      <w:r w:rsidRPr="00292CFC">
        <w:t>section 37B (Authorisation certificate amendment—technical amendment);</w:t>
      </w:r>
    </w:p>
    <w:p w:rsidR="00BF0E92" w:rsidRPr="00292CFC" w:rsidRDefault="00BF0E92" w:rsidP="00BF0E92">
      <w:pPr>
        <w:pStyle w:val="Apara"/>
      </w:pPr>
      <w:r w:rsidRPr="00292CFC">
        <w:tab/>
        <w:t>(b)</w:t>
      </w:r>
      <w:r w:rsidRPr="00292CFC">
        <w:tab/>
      </w:r>
      <w:r>
        <w:t xml:space="preserve">the </w:t>
      </w:r>
      <w:hyperlink r:id="rId83" w:tooltip="A2004-34" w:history="1">
        <w:r w:rsidRPr="00AE589E">
          <w:rPr>
            <w:rStyle w:val="charCitHyperlinkAbbrev"/>
          </w:rPr>
          <w:t>Act</w:t>
        </w:r>
      </w:hyperlink>
      <w:r>
        <w:t xml:space="preserve">, </w:t>
      </w:r>
      <w:r w:rsidRPr="00292CFC">
        <w:t xml:space="preserve">section 113A (1) (c) (Disposal of gaming machines—notifiable action). </w:t>
      </w:r>
    </w:p>
    <w:p w:rsidR="00EF1222" w:rsidRPr="00EF1222" w:rsidRDefault="00EF1222" w:rsidP="00EF1222">
      <w:pPr>
        <w:pStyle w:val="PageBreak"/>
      </w:pPr>
      <w:r w:rsidRPr="00EF1222">
        <w:br w:type="page"/>
      </w:r>
    </w:p>
    <w:p w:rsidR="009720B3" w:rsidRPr="00B043CD" w:rsidRDefault="009720B3">
      <w:pPr>
        <w:pStyle w:val="AH2Part"/>
      </w:pPr>
      <w:bookmarkStart w:id="97" w:name="_Toc532221275"/>
      <w:r w:rsidRPr="00B043CD">
        <w:rPr>
          <w:rStyle w:val="CharPartNo"/>
        </w:rPr>
        <w:lastRenderedPageBreak/>
        <w:t>Part 10</w:t>
      </w:r>
      <w:r>
        <w:tab/>
      </w:r>
      <w:r w:rsidRPr="00B043CD">
        <w:rPr>
          <w:rStyle w:val="CharPartText"/>
        </w:rPr>
        <w:t>Miscellaneous</w:t>
      </w:r>
      <w:bookmarkEnd w:id="97"/>
    </w:p>
    <w:p w:rsidR="009720B3" w:rsidRDefault="009720B3">
      <w:pPr>
        <w:pStyle w:val="AH5Sec"/>
      </w:pPr>
      <w:bookmarkStart w:id="98" w:name="_Toc532221276"/>
      <w:r w:rsidRPr="00B043CD">
        <w:rPr>
          <w:rStyle w:val="CharSectNo"/>
        </w:rPr>
        <w:t>72</w:t>
      </w:r>
      <w:r>
        <w:tab/>
        <w:t>Maximum stake amount—Act, s 49</w:t>
      </w:r>
      <w:bookmarkEnd w:id="98"/>
    </w:p>
    <w:p w:rsidR="009720B3" w:rsidRDefault="009720B3">
      <w:pPr>
        <w:pStyle w:val="Amainreturn"/>
      </w:pPr>
      <w:r>
        <w:t>The maximum stake amount is $10.</w:t>
      </w:r>
    </w:p>
    <w:p w:rsidR="009720B3" w:rsidRDefault="009720B3">
      <w:pPr>
        <w:pStyle w:val="AH5Sec"/>
      </w:pPr>
      <w:bookmarkStart w:id="99" w:name="_Toc532221277"/>
      <w:r w:rsidRPr="00B043CD">
        <w:rPr>
          <w:rStyle w:val="CharSectNo"/>
        </w:rPr>
        <w:t>73</w:t>
      </w:r>
      <w:r>
        <w:tab/>
      </w:r>
      <w:r w:rsidR="00B305D1" w:rsidRPr="000B0ACF">
        <w:t>Contractual arrangements and consultancies in ann</w:t>
      </w:r>
      <w:r w:rsidR="00AA45E2">
        <w:t>ual report of clubs—Act, s 54 (b</w:t>
      </w:r>
      <w:r w:rsidR="00B305D1" w:rsidRPr="000B0ACF">
        <w:t>)</w:t>
      </w:r>
      <w:bookmarkEnd w:id="99"/>
    </w:p>
    <w:p w:rsidR="009720B3" w:rsidRDefault="009720B3">
      <w:pPr>
        <w:pStyle w:val="Amainreturn"/>
      </w:pPr>
      <w:r>
        <w:t>The prescribed amount for contractual arrangements or consultancies is—</w:t>
      </w:r>
    </w:p>
    <w:p w:rsidR="009720B3" w:rsidRDefault="009720B3">
      <w:pPr>
        <w:pStyle w:val="Apara"/>
      </w:pPr>
      <w:r>
        <w:tab/>
        <w:t>(a)</w:t>
      </w:r>
      <w:r>
        <w:tab/>
      </w:r>
      <w:r w:rsidR="00D059DC" w:rsidRPr="000E481D">
        <w:t>$99 999</w:t>
      </w:r>
      <w:r>
        <w:t>; or</w:t>
      </w:r>
    </w:p>
    <w:p w:rsidR="009720B3" w:rsidRDefault="009720B3">
      <w:pPr>
        <w:pStyle w:val="Apara"/>
      </w:pPr>
      <w:r>
        <w:tab/>
        <w:t>(b)</w:t>
      </w:r>
      <w:r>
        <w:tab/>
        <w:t xml:space="preserve">if the club has entered into 2 or more contractual arrangements or consultancies with an entity and the total payments for the arrangements or consultancies with the entity for the year are more than </w:t>
      </w:r>
      <w:r w:rsidR="00D059DC" w:rsidRPr="000E481D">
        <w:t>$99 999</w:t>
      </w:r>
      <w:r>
        <w:t>—any arrangement or consultancy with the entity worth more than $1.</w:t>
      </w:r>
    </w:p>
    <w:p w:rsidR="009720B3" w:rsidRDefault="009720B3">
      <w:pPr>
        <w:pStyle w:val="AH5Sec"/>
      </w:pPr>
      <w:bookmarkStart w:id="100" w:name="_Toc532221278"/>
      <w:r w:rsidRPr="00B043CD">
        <w:rPr>
          <w:rStyle w:val="CharSectNo"/>
        </w:rPr>
        <w:t>74</w:t>
      </w:r>
      <w:r>
        <w:tab/>
        <w:t>Remuneration in annual repor</w:t>
      </w:r>
      <w:r w:rsidR="00206992">
        <w:t>t of clubs—Act, s 54 (c</w:t>
      </w:r>
      <w:r>
        <w:t>)</w:t>
      </w:r>
      <w:bookmarkEnd w:id="100"/>
    </w:p>
    <w:p w:rsidR="009720B3" w:rsidRDefault="009720B3">
      <w:pPr>
        <w:pStyle w:val="Amainreturn"/>
      </w:pPr>
      <w:r>
        <w:t xml:space="preserve">The prescribed remuneration is </w:t>
      </w:r>
      <w:r w:rsidR="00D059DC" w:rsidRPr="000E481D">
        <w:t>$150 000</w:t>
      </w:r>
      <w:r>
        <w:t>.</w:t>
      </w:r>
    </w:p>
    <w:p w:rsidR="00386F08" w:rsidRPr="00DA215F" w:rsidRDefault="00386F08" w:rsidP="00386F08">
      <w:pPr>
        <w:pStyle w:val="AH5Sec"/>
      </w:pPr>
      <w:bookmarkStart w:id="101" w:name="_Toc532221279"/>
      <w:r w:rsidRPr="00B043CD">
        <w:rPr>
          <w:rStyle w:val="CharSectNo"/>
        </w:rPr>
        <w:t>75</w:t>
      </w:r>
      <w:r w:rsidRPr="00DA215F">
        <w:tab/>
        <w:t>Offence to operate high-denomination note acceptor—Act, s 178 (2) (a)</w:t>
      </w:r>
      <w:bookmarkEnd w:id="101"/>
    </w:p>
    <w:p w:rsidR="00386F08" w:rsidRPr="00DA215F" w:rsidRDefault="00386F08" w:rsidP="00547BF7">
      <w:pPr>
        <w:pStyle w:val="Amain"/>
        <w:keepNext/>
      </w:pPr>
      <w:r w:rsidRPr="00DA215F">
        <w:tab/>
        <w:t>(1)</w:t>
      </w:r>
      <w:r w:rsidRPr="00DA215F">
        <w:tab/>
        <w:t>A licensee commits an offence if the licensee operates a note acceptor that accepts bank notes in denominations of $50 or $100.</w:t>
      </w:r>
    </w:p>
    <w:p w:rsidR="00386F08" w:rsidRPr="00DA215F" w:rsidRDefault="00386F08" w:rsidP="00386F08">
      <w:pPr>
        <w:pStyle w:val="Penalty"/>
      </w:pPr>
      <w:r w:rsidRPr="00DA215F">
        <w:t>Maximum penalty:  5 penalty units.</w:t>
      </w:r>
    </w:p>
    <w:p w:rsidR="00386F08" w:rsidRPr="00DA215F" w:rsidRDefault="00386F08" w:rsidP="00386F08">
      <w:pPr>
        <w:pStyle w:val="Amain"/>
      </w:pPr>
      <w:r w:rsidRPr="00DA215F">
        <w:tab/>
        <w:t>(2)</w:t>
      </w:r>
      <w:r w:rsidRPr="00DA215F">
        <w:tab/>
        <w:t>An offence against this section is a strict liability offence.</w:t>
      </w:r>
    </w:p>
    <w:p w:rsidR="009720B3" w:rsidRDefault="009720B3">
      <w:pPr>
        <w:pStyle w:val="AH5Sec"/>
      </w:pPr>
      <w:bookmarkStart w:id="102" w:name="_Toc532221280"/>
      <w:r w:rsidRPr="00B043CD">
        <w:rPr>
          <w:rStyle w:val="CharSectNo"/>
        </w:rPr>
        <w:lastRenderedPageBreak/>
        <w:t>76</w:t>
      </w:r>
      <w:r>
        <w:tab/>
        <w:t>Minimum payout of gaming machine—Act, s 178 (2) (b)</w:t>
      </w:r>
      <w:bookmarkEnd w:id="102"/>
    </w:p>
    <w:p w:rsidR="009720B3" w:rsidRDefault="009720B3" w:rsidP="001D39B6">
      <w:pPr>
        <w:pStyle w:val="Amain"/>
        <w:keepNext/>
      </w:pPr>
      <w:r>
        <w:tab/>
        <w:t>(1)</w:t>
      </w:r>
      <w:r>
        <w:tab/>
        <w:t>The minimum percentage payout of a gaming machine is 87%.</w:t>
      </w:r>
    </w:p>
    <w:p w:rsidR="009720B3" w:rsidRDefault="009720B3" w:rsidP="006C347E">
      <w:pPr>
        <w:pStyle w:val="Amain"/>
        <w:keepLines/>
      </w:pPr>
      <w:r>
        <w:tab/>
        <w:t>(2)</w:t>
      </w:r>
      <w:r>
        <w:tab/>
        <w:t xml:space="preserve">If a gaming machine is connected to a linked-jackpot arrangement, the minimum percentage payout is the total of the percentage payout for </w:t>
      </w:r>
      <w:r w:rsidR="00D4244F" w:rsidRPr="00AE589E">
        <w:rPr>
          <w:szCs w:val="24"/>
        </w:rPr>
        <w:t>the gaming machine</w:t>
      </w:r>
      <w:r>
        <w:t xml:space="preserve"> and the percentage of turnover for </w:t>
      </w:r>
      <w:r w:rsidR="00D4244F" w:rsidRPr="00AE589E">
        <w:rPr>
          <w:szCs w:val="24"/>
        </w:rPr>
        <w:t>the gaming machine</w:t>
      </w:r>
      <w:r>
        <w:t>.</w:t>
      </w:r>
    </w:p>
    <w:p w:rsidR="009720B3" w:rsidRDefault="009720B3">
      <w:pPr>
        <w:pStyle w:val="aExamHdgpar"/>
        <w:ind w:left="1100"/>
      </w:pPr>
      <w:r>
        <w:t>Example</w:t>
      </w:r>
    </w:p>
    <w:p w:rsidR="009720B3" w:rsidRDefault="009720B3">
      <w:pPr>
        <w:pStyle w:val="aExampar"/>
        <w:keepNext/>
        <w:ind w:left="1100"/>
      </w:pPr>
      <w:r>
        <w:t xml:space="preserve">If </w:t>
      </w:r>
      <w:r w:rsidR="00D4244F" w:rsidRPr="00AE589E">
        <w:rPr>
          <w:sz w:val="24"/>
          <w:szCs w:val="24"/>
        </w:rPr>
        <w:t>the gaming machine</w:t>
      </w:r>
      <w:r>
        <w:t xml:space="preserve"> pays out 85% directly on its prize schedule and makes a 3% contribution to a link, the total percentage payout of </w:t>
      </w:r>
      <w:r w:rsidR="00D4244F" w:rsidRPr="00D4244F">
        <w:t>the gaming machine</w:t>
      </w:r>
      <w:r>
        <w:t xml:space="preserve"> is 88% which is above the minimum requirement of 87%.</w:t>
      </w:r>
    </w:p>
    <w:p w:rsidR="009720B3" w:rsidRDefault="009720B3">
      <w:pPr>
        <w:pStyle w:val="aNote"/>
      </w:pPr>
      <w:r>
        <w:rPr>
          <w:rStyle w:val="charItals"/>
        </w:rPr>
        <w:t>Note</w:t>
      </w:r>
      <w:r>
        <w:tab/>
        <w:t xml:space="preserve">An example is part of the regulation, is not exhaustive and may extend, but does not limit, the meaning of the provision in which it appears (see </w:t>
      </w:r>
      <w:hyperlink r:id="rId84" w:tooltip="A2001-14" w:history="1">
        <w:r w:rsidR="000812EE" w:rsidRPr="000812EE">
          <w:rPr>
            <w:rStyle w:val="charCitHyperlinkAbbrev"/>
          </w:rPr>
          <w:t>Legislation Act</w:t>
        </w:r>
      </w:hyperlink>
      <w:r>
        <w:t>, s 126 and s 132).</w:t>
      </w:r>
    </w:p>
    <w:p w:rsidR="009720B3" w:rsidRDefault="009720B3">
      <w:pPr>
        <w:pStyle w:val="Amain"/>
        <w:keepNext/>
      </w:pPr>
      <w:r>
        <w:tab/>
        <w:t>(3)</w:t>
      </w:r>
      <w:r>
        <w:tab/>
        <w:t>In this section:</w:t>
      </w:r>
    </w:p>
    <w:p w:rsidR="009720B3" w:rsidRDefault="009720B3">
      <w:pPr>
        <w:pStyle w:val="Amainreturn"/>
      </w:pPr>
      <w:r>
        <w:rPr>
          <w:rStyle w:val="charBoldItals"/>
        </w:rPr>
        <w:t>percentage of turnover</w:t>
      </w:r>
      <w:r>
        <w:t>—see section 43 (3).</w:t>
      </w:r>
    </w:p>
    <w:p w:rsidR="009720B3" w:rsidRDefault="009720B3">
      <w:pPr>
        <w:pStyle w:val="AH5Sec"/>
      </w:pPr>
      <w:bookmarkStart w:id="103" w:name="_Toc532221281"/>
      <w:r w:rsidRPr="00B043CD">
        <w:rPr>
          <w:rStyle w:val="CharSectNo"/>
        </w:rPr>
        <w:t>77</w:t>
      </w:r>
      <w:r>
        <w:tab/>
        <w:t xml:space="preserve">Not gaming machines—Act, dict, def </w:t>
      </w:r>
      <w:r w:rsidRPr="000812EE">
        <w:rPr>
          <w:rStyle w:val="charItals"/>
        </w:rPr>
        <w:t>gaming machine</w:t>
      </w:r>
      <w:bookmarkEnd w:id="103"/>
    </w:p>
    <w:p w:rsidR="009720B3" w:rsidRDefault="009720B3">
      <w:pPr>
        <w:pStyle w:val="Amainreturn"/>
        <w:keepNext/>
      </w:pPr>
      <w:r>
        <w:t>Each of the following devices is not a gaming machine:</w:t>
      </w:r>
    </w:p>
    <w:p w:rsidR="009720B3" w:rsidRDefault="009720B3">
      <w:pPr>
        <w:pStyle w:val="Apara"/>
      </w:pPr>
      <w:r>
        <w:tab/>
        <w:t>(a)</w:t>
      </w:r>
      <w:r>
        <w:tab/>
        <w:t>a device for playing a game of skill only;</w:t>
      </w:r>
    </w:p>
    <w:p w:rsidR="009720B3" w:rsidRDefault="009720B3">
      <w:pPr>
        <w:pStyle w:val="Apara"/>
      </w:pPr>
      <w:r>
        <w:tab/>
        <w:t>(b)</w:t>
      </w:r>
      <w:r>
        <w:tab/>
        <w:t>an amusement device that usually involves an element of skill and is played for entertainment only;</w:t>
      </w:r>
    </w:p>
    <w:p w:rsidR="009720B3" w:rsidRDefault="009720B3">
      <w:pPr>
        <w:pStyle w:val="aExamHdgpar"/>
      </w:pPr>
      <w:r>
        <w:t>Example</w:t>
      </w:r>
    </w:p>
    <w:p w:rsidR="009720B3" w:rsidRDefault="009720B3">
      <w:pPr>
        <w:pStyle w:val="aExamss"/>
        <w:ind w:left="1600"/>
      </w:pPr>
      <w:r>
        <w:t>a pinball machine</w:t>
      </w:r>
    </w:p>
    <w:p w:rsidR="00070B4D" w:rsidRDefault="00070B4D" w:rsidP="00070B4D">
      <w:pPr>
        <w:pStyle w:val="aNotepar"/>
      </w:pPr>
      <w:r>
        <w:rPr>
          <w:rStyle w:val="charItals"/>
        </w:rPr>
        <w:t>Note</w:t>
      </w:r>
      <w:r>
        <w:rPr>
          <w:rStyle w:val="charItals"/>
        </w:rPr>
        <w:tab/>
      </w:r>
      <w:r>
        <w:t xml:space="preserve">An example is part of the regulation, is not exhaustive and may extend, but does not limit, the meaning of the provision in which it appears (see </w:t>
      </w:r>
      <w:hyperlink r:id="rId85" w:tooltip="A2001-14" w:history="1">
        <w:r w:rsidRPr="000812EE">
          <w:rPr>
            <w:rStyle w:val="charCitHyperlinkAbbrev"/>
          </w:rPr>
          <w:t>Legislation Act</w:t>
        </w:r>
      </w:hyperlink>
      <w:r>
        <w:t>, s 126 and s 132).</w:t>
      </w:r>
    </w:p>
    <w:p w:rsidR="009720B3" w:rsidRDefault="009720B3">
      <w:pPr>
        <w:pStyle w:val="Apara"/>
        <w:keepNext/>
      </w:pPr>
      <w:r>
        <w:lastRenderedPageBreak/>
        <w:tab/>
        <w:t>(c)</w:t>
      </w:r>
      <w:r>
        <w:tab/>
        <w:t>a device that—</w:t>
      </w:r>
    </w:p>
    <w:p w:rsidR="009720B3" w:rsidRDefault="009720B3" w:rsidP="001D39B6">
      <w:pPr>
        <w:pStyle w:val="Asubpara"/>
        <w:keepNext/>
      </w:pPr>
      <w:r>
        <w:tab/>
        <w:t>(i)</w:t>
      </w:r>
      <w:r>
        <w:tab/>
        <w:t>is ordinarily found at fairs, fetes or shows; and</w:t>
      </w:r>
    </w:p>
    <w:p w:rsidR="009720B3" w:rsidRDefault="009720B3" w:rsidP="001D39B6">
      <w:pPr>
        <w:pStyle w:val="Asubpara"/>
        <w:keepNext/>
      </w:pPr>
      <w:r>
        <w:tab/>
        <w:t>(ii)</w:t>
      </w:r>
      <w:r>
        <w:tab/>
        <w:t>usually involves an element of skill; and</w:t>
      </w:r>
    </w:p>
    <w:p w:rsidR="009720B3" w:rsidRDefault="009720B3">
      <w:pPr>
        <w:pStyle w:val="Asubpara"/>
        <w:keepNext/>
      </w:pPr>
      <w:r>
        <w:tab/>
        <w:t>(iii)</w:t>
      </w:r>
      <w:r>
        <w:tab/>
        <w:t>is played mainly for entertainment, whether or not a prize is offered or given.</w:t>
      </w:r>
    </w:p>
    <w:p w:rsidR="009720B3" w:rsidRDefault="009720B3">
      <w:pPr>
        <w:pStyle w:val="aExamHdgpar"/>
      </w:pPr>
      <w:r>
        <w:t>Example</w:t>
      </w:r>
      <w:r w:rsidR="00070B4D">
        <w:t>—par (c)</w:t>
      </w:r>
    </w:p>
    <w:p w:rsidR="009720B3" w:rsidRDefault="00070B4D" w:rsidP="00547BF7">
      <w:pPr>
        <w:pStyle w:val="aExampar"/>
      </w:pPr>
      <w:r>
        <w:t>‘l</w:t>
      </w:r>
      <w:r w:rsidR="009720B3">
        <w:t>aughing clowns’ amusement machine</w:t>
      </w:r>
    </w:p>
    <w:p w:rsidR="00EE3EA5" w:rsidRDefault="00EE3EA5">
      <w:pPr>
        <w:pStyle w:val="02Text"/>
        <w:sectPr w:rsidR="00EE3EA5">
          <w:headerReference w:type="even" r:id="rId86"/>
          <w:headerReference w:type="default" r:id="rId87"/>
          <w:footerReference w:type="even" r:id="rId88"/>
          <w:footerReference w:type="default" r:id="rId89"/>
          <w:footerReference w:type="first" r:id="rId90"/>
          <w:pgSz w:w="11907" w:h="16839" w:code="9"/>
          <w:pgMar w:top="3880" w:right="1900" w:bottom="3100" w:left="2300" w:header="2280" w:footer="1760" w:gutter="0"/>
          <w:pgNumType w:start="1"/>
          <w:cols w:space="720"/>
          <w:titlePg/>
          <w:docGrid w:linePitch="254"/>
        </w:sectPr>
      </w:pPr>
    </w:p>
    <w:p w:rsidR="009720B3" w:rsidRDefault="009720B3">
      <w:pPr>
        <w:pStyle w:val="PageBreak"/>
      </w:pPr>
      <w:r>
        <w:br w:type="page"/>
      </w:r>
    </w:p>
    <w:p w:rsidR="009720B3" w:rsidRDefault="009720B3">
      <w:pPr>
        <w:pStyle w:val="Dict-Heading"/>
      </w:pPr>
      <w:bookmarkStart w:id="104" w:name="_Toc532221282"/>
      <w:r>
        <w:lastRenderedPageBreak/>
        <w:t>Dictionary</w:t>
      </w:r>
      <w:bookmarkEnd w:id="104"/>
    </w:p>
    <w:p w:rsidR="009720B3" w:rsidRDefault="009720B3">
      <w:pPr>
        <w:pStyle w:val="ref"/>
        <w:keepNext/>
      </w:pPr>
      <w:r>
        <w:t>(see s 3)</w:t>
      </w:r>
    </w:p>
    <w:p w:rsidR="009720B3" w:rsidRDefault="009720B3">
      <w:pPr>
        <w:pStyle w:val="aNote"/>
        <w:keepNext/>
      </w:pPr>
      <w:r>
        <w:rPr>
          <w:rStyle w:val="charItals"/>
        </w:rPr>
        <w:t>Note 1</w:t>
      </w:r>
      <w:r>
        <w:rPr>
          <w:rStyle w:val="charItals"/>
        </w:rPr>
        <w:tab/>
      </w:r>
      <w:r>
        <w:t xml:space="preserve">The </w:t>
      </w:r>
      <w:hyperlink r:id="rId91" w:tooltip="A2001-14" w:history="1">
        <w:r w:rsidR="000812EE" w:rsidRPr="000812EE">
          <w:rPr>
            <w:rStyle w:val="charCitHyperlinkAbbrev"/>
          </w:rPr>
          <w:t>Legislation Act</w:t>
        </w:r>
      </w:hyperlink>
      <w:r>
        <w:t xml:space="preserve"> contains definitions and other provisions relevant to this regulation.</w:t>
      </w:r>
    </w:p>
    <w:p w:rsidR="009720B3" w:rsidRDefault="009720B3">
      <w:pPr>
        <w:pStyle w:val="aNote"/>
        <w:keepNext/>
      </w:pPr>
      <w:r>
        <w:rPr>
          <w:rStyle w:val="charItals"/>
        </w:rPr>
        <w:t>Note 2</w:t>
      </w:r>
      <w:r>
        <w:rPr>
          <w:rStyle w:val="charItals"/>
        </w:rPr>
        <w:tab/>
      </w:r>
      <w:r>
        <w:t xml:space="preserve">In particular, the </w:t>
      </w:r>
      <w:hyperlink r:id="rId92" w:tooltip="A2001-14" w:history="1">
        <w:r w:rsidR="000812EE" w:rsidRPr="000812EE">
          <w:rPr>
            <w:rStyle w:val="charCitHyperlinkAbbrev"/>
          </w:rPr>
          <w:t>Legislation Act</w:t>
        </w:r>
      </w:hyperlink>
      <w:r>
        <w:t>, dict, pt 1, defines the following terms:</w:t>
      </w:r>
    </w:p>
    <w:p w:rsidR="009720B3" w:rsidRDefault="009720B3">
      <w:pPr>
        <w:pStyle w:val="aNoteBulletss"/>
        <w:ind w:left="1900" w:firstLine="0"/>
      </w:pPr>
      <w:r>
        <w:rPr>
          <w:rFonts w:ascii="Symbol" w:hAnsi="Symbol"/>
        </w:rPr>
        <w:t></w:t>
      </w:r>
      <w:r>
        <w:rPr>
          <w:rFonts w:ascii="Symbol" w:hAnsi="Symbol"/>
        </w:rPr>
        <w:tab/>
      </w:r>
      <w:r>
        <w:t>ACT</w:t>
      </w:r>
    </w:p>
    <w:p w:rsidR="009720B3" w:rsidRDefault="009720B3">
      <w:pPr>
        <w:pStyle w:val="aNoteBulletss"/>
        <w:ind w:left="1900" w:firstLine="0"/>
      </w:pPr>
      <w:r>
        <w:rPr>
          <w:rFonts w:ascii="Symbol" w:hAnsi="Symbol"/>
        </w:rPr>
        <w:t></w:t>
      </w:r>
      <w:r>
        <w:rPr>
          <w:rFonts w:ascii="Symbol" w:hAnsi="Symbol"/>
        </w:rPr>
        <w:tab/>
      </w:r>
      <w:r>
        <w:t>adult</w:t>
      </w:r>
    </w:p>
    <w:p w:rsidR="009720B3" w:rsidRDefault="009720B3">
      <w:pPr>
        <w:pStyle w:val="aNoteBulletss"/>
        <w:ind w:left="1900" w:firstLine="0"/>
      </w:pPr>
      <w:r>
        <w:rPr>
          <w:rFonts w:ascii="Symbol" w:hAnsi="Symbol"/>
        </w:rPr>
        <w:t></w:t>
      </w:r>
      <w:r>
        <w:rPr>
          <w:rFonts w:ascii="Symbol" w:hAnsi="Symbol"/>
        </w:rPr>
        <w:tab/>
      </w:r>
      <w:r>
        <w:t>child</w:t>
      </w:r>
    </w:p>
    <w:p w:rsidR="009720B3" w:rsidRDefault="009720B3">
      <w:pPr>
        <w:pStyle w:val="aNoteBulletss"/>
        <w:ind w:left="1900" w:firstLine="0"/>
      </w:pPr>
      <w:r>
        <w:rPr>
          <w:rFonts w:ascii="Symbol" w:hAnsi="Symbol"/>
        </w:rPr>
        <w:t></w:t>
      </w:r>
      <w:r>
        <w:rPr>
          <w:rFonts w:ascii="Symbol" w:hAnsi="Symbol"/>
        </w:rPr>
        <w:tab/>
      </w:r>
      <w:r>
        <w:t>entity</w:t>
      </w:r>
    </w:p>
    <w:p w:rsidR="009720B3" w:rsidRDefault="009720B3">
      <w:pPr>
        <w:pStyle w:val="aNoteBulletss"/>
        <w:ind w:left="1900" w:firstLine="0"/>
      </w:pPr>
      <w:r>
        <w:rPr>
          <w:rFonts w:ascii="Symbol" w:hAnsi="Symbol"/>
        </w:rPr>
        <w:t></w:t>
      </w:r>
      <w:r>
        <w:rPr>
          <w:rFonts w:ascii="Symbol" w:hAnsi="Symbol"/>
        </w:rPr>
        <w:tab/>
      </w:r>
      <w:r>
        <w:t>individual</w:t>
      </w:r>
    </w:p>
    <w:p w:rsidR="009720B3" w:rsidRDefault="009720B3">
      <w:pPr>
        <w:pStyle w:val="aNoteBulletss"/>
        <w:ind w:left="1900" w:firstLine="0"/>
      </w:pPr>
      <w:r>
        <w:rPr>
          <w:rFonts w:ascii="Symbol" w:hAnsi="Symbol"/>
        </w:rPr>
        <w:t></w:t>
      </w:r>
      <w:r>
        <w:rPr>
          <w:rFonts w:ascii="Symbol" w:hAnsi="Symbol"/>
        </w:rPr>
        <w:tab/>
      </w:r>
      <w:r>
        <w:t>Legislation Act</w:t>
      </w:r>
    </w:p>
    <w:p w:rsidR="009720B3" w:rsidRDefault="009720B3">
      <w:pPr>
        <w:pStyle w:val="aNoteBulletss"/>
        <w:ind w:left="1900" w:firstLine="0"/>
      </w:pPr>
      <w:r>
        <w:rPr>
          <w:rFonts w:ascii="Symbol" w:hAnsi="Symbol"/>
        </w:rPr>
        <w:t></w:t>
      </w:r>
      <w:r>
        <w:rPr>
          <w:rFonts w:ascii="Symbol" w:hAnsi="Symbol"/>
        </w:rPr>
        <w:tab/>
      </w:r>
      <w:r>
        <w:t>may (see s 146)</w:t>
      </w:r>
    </w:p>
    <w:p w:rsidR="009720B3" w:rsidRDefault="009720B3">
      <w:pPr>
        <w:pStyle w:val="aNoteBulletss"/>
        <w:ind w:left="1900" w:firstLine="0"/>
      </w:pPr>
      <w:r>
        <w:rPr>
          <w:rFonts w:ascii="Symbol" w:hAnsi="Symbol"/>
        </w:rPr>
        <w:t></w:t>
      </w:r>
      <w:r>
        <w:rPr>
          <w:rFonts w:ascii="Symbol" w:hAnsi="Symbol"/>
        </w:rPr>
        <w:tab/>
      </w:r>
      <w:r>
        <w:t>must (see s 146)</w:t>
      </w:r>
    </w:p>
    <w:p w:rsidR="009720B3" w:rsidRDefault="009720B3">
      <w:pPr>
        <w:pStyle w:val="aNoteBulletss"/>
        <w:ind w:left="1900" w:firstLine="0"/>
      </w:pPr>
      <w:r>
        <w:rPr>
          <w:rFonts w:ascii="Symbol" w:hAnsi="Symbol"/>
        </w:rPr>
        <w:t></w:t>
      </w:r>
      <w:r>
        <w:rPr>
          <w:rFonts w:ascii="Symbol" w:hAnsi="Symbol"/>
        </w:rPr>
        <w:tab/>
      </w:r>
      <w:r>
        <w:t>penalty unit (see s 133)</w:t>
      </w:r>
    </w:p>
    <w:p w:rsidR="00D319C5" w:rsidRDefault="00D319C5" w:rsidP="00D319C5">
      <w:pPr>
        <w:pStyle w:val="aNoteBulletss"/>
        <w:ind w:left="1900" w:firstLine="0"/>
      </w:pPr>
      <w:r>
        <w:rPr>
          <w:rFonts w:ascii="Symbol" w:hAnsi="Symbol"/>
        </w:rPr>
        <w:t></w:t>
      </w:r>
      <w:r>
        <w:rPr>
          <w:rFonts w:ascii="Symbol" w:hAnsi="Symbol"/>
        </w:rPr>
        <w:tab/>
      </w:r>
      <w:r w:rsidRPr="0092630A">
        <w:t>public notice</w:t>
      </w:r>
    </w:p>
    <w:p w:rsidR="009720B3" w:rsidRDefault="009720B3">
      <w:pPr>
        <w:pStyle w:val="aNoteBulletss"/>
        <w:keepNext/>
        <w:ind w:left="1900" w:firstLine="0"/>
      </w:pPr>
      <w:r>
        <w:rPr>
          <w:rFonts w:ascii="Symbol" w:hAnsi="Symbol"/>
        </w:rPr>
        <w:t></w:t>
      </w:r>
      <w:r>
        <w:rPr>
          <w:rFonts w:ascii="Symbol" w:hAnsi="Symbol"/>
        </w:rPr>
        <w:tab/>
      </w:r>
      <w:r>
        <w:t>under.</w:t>
      </w:r>
    </w:p>
    <w:p w:rsidR="00637232" w:rsidRPr="00AE589E" w:rsidRDefault="00637232" w:rsidP="00637232">
      <w:pPr>
        <w:pStyle w:val="aNote"/>
        <w:keepNext/>
      </w:pPr>
      <w:r w:rsidRPr="00AE589E">
        <w:rPr>
          <w:rStyle w:val="charItals"/>
        </w:rPr>
        <w:t>Note 3</w:t>
      </w:r>
      <w:r w:rsidRPr="00AE589E">
        <w:rPr>
          <w:rStyle w:val="charItals"/>
        </w:rPr>
        <w:tab/>
      </w:r>
      <w:r w:rsidRPr="00AE589E">
        <w:t xml:space="preserve">Terms used in this regulation have the same meaning that they have in the </w:t>
      </w:r>
      <w:hyperlink r:id="rId93" w:tooltip="A2004-34" w:history="1">
        <w:r w:rsidRPr="00AE589E">
          <w:rPr>
            <w:rStyle w:val="charCitHyperlinkItal"/>
          </w:rPr>
          <w:t>Gaming Machine Act 2004</w:t>
        </w:r>
      </w:hyperlink>
      <w:r w:rsidRPr="00AE589E">
        <w:t xml:space="preserve"> (see </w:t>
      </w:r>
      <w:hyperlink r:id="rId94" w:tooltip="A2001-14" w:history="1">
        <w:r w:rsidRPr="00AE589E">
          <w:rPr>
            <w:rStyle w:val="charCitHyperlinkAbbrev"/>
          </w:rPr>
          <w:t>Legislation Act</w:t>
        </w:r>
      </w:hyperlink>
      <w:r w:rsidRPr="00AE589E">
        <w:t xml:space="preserve">, s 148).  For example, the following terms are defined in the </w:t>
      </w:r>
      <w:hyperlink r:id="rId95" w:tooltip="A2004-34" w:history="1">
        <w:r w:rsidRPr="00AE589E">
          <w:rPr>
            <w:rStyle w:val="charCitHyperlinkItal"/>
          </w:rPr>
          <w:t>Gaming Machine Act 2004</w:t>
        </w:r>
      </w:hyperlink>
      <w:r w:rsidRPr="00AE589E">
        <w:t>, dict:</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approved supplier</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approved technician</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certificate amendment application</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certificate application</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schedule</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authorised officer</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authorised premises</w:t>
      </w:r>
    </w:p>
    <w:p w:rsidR="002C6A2C" w:rsidRPr="00CB00E1" w:rsidRDefault="002C6A2C" w:rsidP="002C6A2C">
      <w:pPr>
        <w:pStyle w:val="aNoteBulletss"/>
        <w:tabs>
          <w:tab w:val="left" w:pos="2300"/>
        </w:tabs>
      </w:pPr>
      <w:r w:rsidRPr="00CB00E1">
        <w:rPr>
          <w:rFonts w:ascii="Symbol" w:hAnsi="Symbol"/>
        </w:rPr>
        <w:t></w:t>
      </w:r>
      <w:r w:rsidRPr="00CB00E1">
        <w:rPr>
          <w:rFonts w:ascii="Symbol" w:hAnsi="Symbol"/>
        </w:rPr>
        <w:tab/>
      </w:r>
      <w:r w:rsidRPr="00CB00E1">
        <w:t>cash facility</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centralised monitoring system (or CMS) (see s 66)</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B licence and authorisation certificate application</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C gaming machine</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C licence application</w:t>
      </w:r>
    </w:p>
    <w:p w:rsidR="00637232" w:rsidRPr="00AE589E" w:rsidRDefault="00637232" w:rsidP="00AF3E21">
      <w:pPr>
        <w:pStyle w:val="aNoteBulletss"/>
        <w:keepNext/>
        <w:tabs>
          <w:tab w:val="left" w:pos="2300"/>
        </w:tabs>
      </w:pPr>
      <w:r w:rsidRPr="00AE589E">
        <w:rPr>
          <w:rFonts w:ascii="Symbol" w:hAnsi="Symbol"/>
        </w:rPr>
        <w:lastRenderedPageBreak/>
        <w:t></w:t>
      </w:r>
      <w:r w:rsidRPr="00AE589E">
        <w:rPr>
          <w:rFonts w:ascii="Symbol" w:hAnsi="Symbol"/>
        </w:rPr>
        <w:tab/>
      </w:r>
      <w:r w:rsidRPr="00AE589E">
        <w:t>club</w:t>
      </w:r>
    </w:p>
    <w:p w:rsidR="00637232" w:rsidRPr="00AE589E" w:rsidRDefault="00637232" w:rsidP="00AF3E21">
      <w:pPr>
        <w:pStyle w:val="aNoteBulletss"/>
        <w:keepNext/>
        <w:tabs>
          <w:tab w:val="left" w:pos="2300"/>
        </w:tabs>
      </w:pPr>
      <w:r w:rsidRPr="00AE589E">
        <w:rPr>
          <w:rFonts w:ascii="Symbol" w:hAnsi="Symbol"/>
        </w:rPr>
        <w:t></w:t>
      </w:r>
      <w:r w:rsidRPr="00AE589E">
        <w:rPr>
          <w:rFonts w:ascii="Symbol" w:hAnsi="Symbol"/>
        </w:rPr>
        <w:tab/>
      </w:r>
      <w:r w:rsidRPr="00AE589E">
        <w:t>commission</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community contribution</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Control Act</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gaming machine</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increase maximum amendment</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in-principle authorisation certificate (see s 38A)</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linked jackpot</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linked-jackpot arrangement</w:t>
      </w:r>
    </w:p>
    <w:p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maximum number, of authorisations</w:t>
      </w:r>
    </w:p>
    <w:p w:rsidR="002C0630" w:rsidRPr="001847A1" w:rsidRDefault="002C0630" w:rsidP="002C0630">
      <w:pPr>
        <w:pStyle w:val="aNoteBulletss"/>
        <w:tabs>
          <w:tab w:val="left" w:pos="2300"/>
        </w:tabs>
      </w:pPr>
      <w:r w:rsidRPr="001847A1">
        <w:rPr>
          <w:rFonts w:ascii="Symbol" w:hAnsi="Symbol"/>
        </w:rPr>
        <w:t></w:t>
      </w:r>
      <w:r w:rsidRPr="001847A1">
        <w:rPr>
          <w:rFonts w:ascii="Symbol" w:hAnsi="Symbol"/>
        </w:rPr>
        <w:tab/>
      </w:r>
      <w:r w:rsidRPr="001847A1">
        <w:t>member</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multi-user permit</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notifiable action (see s 173C)</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premises relocation amendment</w:t>
      </w:r>
    </w:p>
    <w:p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prescribed number of days</w:t>
      </w:r>
    </w:p>
    <w:p w:rsidR="002C0630" w:rsidRPr="001847A1" w:rsidRDefault="002C0630" w:rsidP="002C0630">
      <w:pPr>
        <w:pStyle w:val="aNoteBulletss"/>
        <w:tabs>
          <w:tab w:val="left" w:pos="2300"/>
        </w:tabs>
      </w:pPr>
      <w:r w:rsidRPr="001847A1">
        <w:rPr>
          <w:rFonts w:ascii="Symbol" w:hAnsi="Symbol"/>
        </w:rPr>
        <w:t></w:t>
      </w:r>
      <w:r w:rsidRPr="001847A1">
        <w:rPr>
          <w:rFonts w:ascii="Symbol" w:hAnsi="Symbol"/>
        </w:rPr>
        <w:tab/>
      </w:r>
      <w:r w:rsidRPr="001847A1">
        <w:t>signed-in guest</w:t>
      </w:r>
    </w:p>
    <w:p w:rsidR="00637232" w:rsidRDefault="00637232" w:rsidP="00637232">
      <w:pPr>
        <w:pStyle w:val="aNoteBulletss"/>
        <w:tabs>
          <w:tab w:val="left" w:pos="2300"/>
        </w:tabs>
      </w:pPr>
      <w:r w:rsidRPr="00AE589E">
        <w:rPr>
          <w:rFonts w:ascii="Symbol" w:hAnsi="Symbol"/>
        </w:rPr>
        <w:t></w:t>
      </w:r>
      <w:r w:rsidRPr="00AE589E">
        <w:rPr>
          <w:rFonts w:ascii="Symbol" w:hAnsi="Symbol"/>
        </w:rPr>
        <w:tab/>
      </w:r>
      <w:r w:rsidR="002C0630">
        <w:t>social impact assessment</w:t>
      </w:r>
    </w:p>
    <w:p w:rsidR="002C0630" w:rsidRPr="00AE589E" w:rsidRDefault="002C0630" w:rsidP="00637232">
      <w:pPr>
        <w:pStyle w:val="aNoteBulletss"/>
        <w:tabs>
          <w:tab w:val="left" w:pos="2300"/>
        </w:tabs>
      </w:pPr>
      <w:r w:rsidRPr="001847A1">
        <w:rPr>
          <w:rFonts w:ascii="Symbol" w:hAnsi="Symbol"/>
        </w:rPr>
        <w:t></w:t>
      </w:r>
      <w:r w:rsidRPr="001847A1">
        <w:rPr>
          <w:rFonts w:ascii="Symbol" w:hAnsi="Symbol"/>
        </w:rPr>
        <w:tab/>
      </w:r>
      <w:r w:rsidRPr="001847A1">
        <w:t>temporary member</w:t>
      </w:r>
      <w:r>
        <w:t>.</w:t>
      </w:r>
    </w:p>
    <w:p w:rsidR="00D059DC" w:rsidRPr="000E481D" w:rsidRDefault="00D059DC" w:rsidP="00D059DC">
      <w:pPr>
        <w:pStyle w:val="aDef"/>
      </w:pPr>
      <w:r w:rsidRPr="000E481D">
        <w:rPr>
          <w:rStyle w:val="charBoldItals"/>
        </w:rPr>
        <w:t>cashless gaming card</w:t>
      </w:r>
      <w:r w:rsidRPr="000E481D">
        <w:t>, for part 6 (Cashless gaming systems)—see section 27.</w:t>
      </w:r>
    </w:p>
    <w:p w:rsidR="00D059DC" w:rsidRPr="000E481D" w:rsidRDefault="00D059DC" w:rsidP="00D059DC">
      <w:pPr>
        <w:pStyle w:val="aDef"/>
      </w:pPr>
      <w:r w:rsidRPr="000E481D">
        <w:rPr>
          <w:rStyle w:val="charBoldItals"/>
        </w:rPr>
        <w:t>cashless gaming system</w:t>
      </w:r>
      <w:r w:rsidRPr="000E481D">
        <w:t>, for part 6 (Cashless gaming systems)—see section 27.</w:t>
      </w:r>
    </w:p>
    <w:p w:rsidR="009720B3" w:rsidRDefault="009720B3">
      <w:pPr>
        <w:pStyle w:val="aDef"/>
      </w:pPr>
      <w:r>
        <w:rPr>
          <w:rStyle w:val="charBoldItals"/>
        </w:rPr>
        <w:t>club secretary</w:t>
      </w:r>
      <w:r w:rsidRPr="000812EE">
        <w:t>, for part 4 (Ballots)—see section 13.</w:t>
      </w:r>
    </w:p>
    <w:p w:rsidR="00AF3E21" w:rsidRPr="00B41DFA" w:rsidRDefault="00AF3E21" w:rsidP="00AF3E21">
      <w:pPr>
        <w:pStyle w:val="aDef"/>
      </w:pPr>
      <w:r w:rsidRPr="00B41DFA">
        <w:rPr>
          <w:rStyle w:val="charBoldItals"/>
        </w:rPr>
        <w:t>conducted electronically</w:t>
      </w:r>
      <w:r w:rsidRPr="00B41DFA">
        <w:t xml:space="preserve">, for a ballot, </w:t>
      </w:r>
      <w:r w:rsidRPr="00B41DFA">
        <w:rPr>
          <w:lang w:eastAsia="en-AU"/>
        </w:rPr>
        <w:t>for part 4 (Ballots)—see section 13.</w:t>
      </w:r>
    </w:p>
    <w:p w:rsidR="00FF2FDB" w:rsidRPr="00AE589E" w:rsidRDefault="00FF2FDB" w:rsidP="00FF2FDB">
      <w:pPr>
        <w:pStyle w:val="aDef"/>
      </w:pPr>
      <w:r w:rsidRPr="00AE589E">
        <w:rPr>
          <w:rStyle w:val="charBoldItals"/>
        </w:rPr>
        <w:t>expired gaming credits</w:t>
      </w:r>
      <w:r w:rsidRPr="00AE589E">
        <w:t xml:space="preserve">, for part 6 (Cashless gaming systems)—see section 27. </w:t>
      </w:r>
    </w:p>
    <w:p w:rsidR="00D059DC" w:rsidRPr="000E481D" w:rsidRDefault="00D059DC" w:rsidP="00D059DC">
      <w:pPr>
        <w:pStyle w:val="aDef"/>
      </w:pPr>
      <w:r w:rsidRPr="000E481D">
        <w:rPr>
          <w:rStyle w:val="charBoldItals"/>
        </w:rPr>
        <w:t>gaming credits</w:t>
      </w:r>
      <w:r w:rsidRPr="000E481D">
        <w:t>, for part 6 (Cashless gaming systems)—see section 27.</w:t>
      </w:r>
    </w:p>
    <w:p w:rsidR="00FF2FDB" w:rsidRDefault="00FF2FDB" w:rsidP="00FF2FDB">
      <w:pPr>
        <w:pStyle w:val="aDef"/>
      </w:pPr>
      <w:r w:rsidRPr="00AE589E">
        <w:rPr>
          <w:rStyle w:val="charBoldItals"/>
        </w:rPr>
        <w:t>gaming machine proposal</w:t>
      </w:r>
      <w:r w:rsidRPr="00AE589E">
        <w:t>, for part 3 (Social impact a</w:t>
      </w:r>
      <w:r w:rsidR="00AF3E21">
        <w:t>ssessments)—see section 10 (2).</w:t>
      </w:r>
    </w:p>
    <w:p w:rsidR="00AF3E21" w:rsidRPr="00B41DFA" w:rsidRDefault="00AF3E21" w:rsidP="00AF3E21">
      <w:pPr>
        <w:pStyle w:val="aDef"/>
        <w:keepNext/>
      </w:pPr>
      <w:r w:rsidRPr="00B41DFA">
        <w:rPr>
          <w:rStyle w:val="charBoldItals"/>
        </w:rPr>
        <w:lastRenderedPageBreak/>
        <w:t>independent ballot service provider</w:t>
      </w:r>
      <w:r w:rsidRPr="00B41DFA">
        <w:t xml:space="preserve">, in relation to a club, </w:t>
      </w:r>
      <w:r w:rsidRPr="00B41DFA">
        <w:rPr>
          <w:lang w:eastAsia="en-AU"/>
        </w:rPr>
        <w:t>for part 4 (Ballots)—see section 13.</w:t>
      </w:r>
    </w:p>
    <w:p w:rsidR="009720B3" w:rsidRDefault="009720B3">
      <w:pPr>
        <w:pStyle w:val="aDef"/>
      </w:pPr>
      <w:r>
        <w:rPr>
          <w:rStyle w:val="charBoldItals"/>
        </w:rPr>
        <w:t>jackpot trust account</w:t>
      </w:r>
      <w:r w:rsidRPr="000812EE">
        <w:t>, for division 8.2 (Multi-user permits)</w:t>
      </w:r>
      <w:r>
        <w:t>—see section 56 (1).</w:t>
      </w:r>
    </w:p>
    <w:p w:rsidR="009720B3" w:rsidRPr="000812EE" w:rsidRDefault="009720B3">
      <w:pPr>
        <w:pStyle w:val="aDef"/>
      </w:pPr>
      <w:r>
        <w:rPr>
          <w:rStyle w:val="charBoldItals"/>
        </w:rPr>
        <w:t>link equipment</w:t>
      </w:r>
      <w:r w:rsidRPr="000812EE">
        <w:t>, for part 8 (Linked-jackpot arrangements)—see section 40.</w:t>
      </w:r>
    </w:p>
    <w:p w:rsidR="009720B3" w:rsidRPr="000812EE" w:rsidRDefault="009720B3">
      <w:pPr>
        <w:pStyle w:val="aDef"/>
      </w:pPr>
      <w:r>
        <w:rPr>
          <w:rStyle w:val="charBoldItals"/>
        </w:rPr>
        <w:t>link service fee</w:t>
      </w:r>
      <w:r w:rsidRPr="000812EE">
        <w:t>, for division 8.2 (Mul</w:t>
      </w:r>
      <w:r w:rsidR="001D2FC7">
        <w:t>ti-user permits)—see section 57 </w:t>
      </w:r>
      <w:r w:rsidRPr="000812EE">
        <w:t>(1).</w:t>
      </w:r>
    </w:p>
    <w:p w:rsidR="009720B3" w:rsidRPr="000812EE" w:rsidRDefault="009720B3">
      <w:pPr>
        <w:pStyle w:val="aDef"/>
      </w:pPr>
      <w:r>
        <w:rPr>
          <w:rStyle w:val="charBoldItals"/>
        </w:rPr>
        <w:t>linked-jackpot contract</w:t>
      </w:r>
      <w:r w:rsidRPr="000812EE">
        <w:t>, for division 8.2 (Multi-user permits)—see section 55.</w:t>
      </w:r>
    </w:p>
    <w:p w:rsidR="009720B3" w:rsidRPr="000812EE" w:rsidRDefault="009720B3">
      <w:pPr>
        <w:pStyle w:val="aDef"/>
      </w:pPr>
      <w:r>
        <w:rPr>
          <w:rStyle w:val="charBoldItals"/>
        </w:rPr>
        <w:t>linked-jackpot contribution</w:t>
      </w:r>
      <w:r w:rsidRPr="000812EE">
        <w:t>, for a linked gaming machine, for division 8.2 (Multi-user permits)—see section 55.</w:t>
      </w:r>
    </w:p>
    <w:p w:rsidR="009720B3" w:rsidRPr="000812EE" w:rsidRDefault="009720B3">
      <w:pPr>
        <w:pStyle w:val="aDef"/>
      </w:pPr>
      <w:r>
        <w:rPr>
          <w:rStyle w:val="charBoldItals"/>
        </w:rPr>
        <w:t>linked licensee</w:t>
      </w:r>
      <w:r w:rsidRPr="000812EE">
        <w:t>, for a linked-jackpot arrangement, for division 8.2 (Multi-user permits)—see section 55.</w:t>
      </w:r>
    </w:p>
    <w:p w:rsidR="009720B3" w:rsidRPr="000812EE" w:rsidRDefault="009720B3">
      <w:pPr>
        <w:pStyle w:val="aDef"/>
      </w:pPr>
      <w:r>
        <w:rPr>
          <w:rStyle w:val="charBoldItals"/>
        </w:rPr>
        <w:t>link service fee</w:t>
      </w:r>
      <w:r w:rsidRPr="000812EE">
        <w:t>, for division 8.2 (Mul</w:t>
      </w:r>
      <w:r w:rsidR="001D2FC7">
        <w:t>ti-user permits)—see section 57 </w:t>
      </w:r>
      <w:r w:rsidRPr="000812EE">
        <w:t>(1).</w:t>
      </w:r>
    </w:p>
    <w:p w:rsidR="00FF2FDB" w:rsidRPr="00AE589E" w:rsidRDefault="00FF2FDB" w:rsidP="00FF2FDB">
      <w:pPr>
        <w:pStyle w:val="aDef"/>
      </w:pPr>
      <w:r w:rsidRPr="00AE589E">
        <w:rPr>
          <w:rStyle w:val="charBoldItals"/>
        </w:rPr>
        <w:t>local community</w:t>
      </w:r>
      <w:r w:rsidRPr="00AE589E">
        <w:t xml:space="preserve">, for part 3 (Social </w:t>
      </w:r>
      <w:r w:rsidR="00FD1C42">
        <w:t>impact assessments)—see section </w:t>
      </w:r>
      <w:r w:rsidRPr="00AE589E">
        <w:t>9.</w:t>
      </w:r>
    </w:p>
    <w:p w:rsidR="002817DF" w:rsidRPr="001847A1" w:rsidRDefault="002817DF" w:rsidP="002817DF">
      <w:pPr>
        <w:pStyle w:val="aDef"/>
        <w:keepNext/>
      </w:pPr>
      <w:r w:rsidRPr="001847A1">
        <w:rPr>
          <w:rStyle w:val="charBoldItals"/>
        </w:rPr>
        <w:t>patron</w:t>
      </w:r>
      <w:r w:rsidRPr="001847A1">
        <w:t>, of a club, includes—</w:t>
      </w:r>
    </w:p>
    <w:p w:rsidR="002817DF" w:rsidRPr="001847A1" w:rsidRDefault="002817DF" w:rsidP="002817DF">
      <w:pPr>
        <w:pStyle w:val="aDefpara"/>
      </w:pPr>
      <w:r w:rsidRPr="001847A1">
        <w:tab/>
        <w:t>(a)</w:t>
      </w:r>
      <w:r w:rsidRPr="001847A1">
        <w:tab/>
        <w:t>a member of the club; and</w:t>
      </w:r>
    </w:p>
    <w:p w:rsidR="002817DF" w:rsidRPr="001847A1" w:rsidRDefault="002817DF" w:rsidP="002817DF">
      <w:pPr>
        <w:pStyle w:val="aDefpara"/>
      </w:pPr>
      <w:r w:rsidRPr="001847A1">
        <w:tab/>
        <w:t>(b)</w:t>
      </w:r>
      <w:r w:rsidRPr="001847A1">
        <w:tab/>
        <w:t>a signed</w:t>
      </w:r>
      <w:r w:rsidRPr="001847A1">
        <w:noBreakHyphen/>
        <w:t>in guest; and</w:t>
      </w:r>
    </w:p>
    <w:p w:rsidR="002817DF" w:rsidRPr="001847A1" w:rsidRDefault="002817DF" w:rsidP="002817DF">
      <w:pPr>
        <w:pStyle w:val="aDefpara"/>
      </w:pPr>
      <w:r w:rsidRPr="001847A1">
        <w:tab/>
        <w:t>(c)</w:t>
      </w:r>
      <w:r w:rsidRPr="001847A1">
        <w:tab/>
        <w:t>a temporary member.</w:t>
      </w:r>
    </w:p>
    <w:p w:rsidR="00AF3E21" w:rsidRPr="00B41DFA" w:rsidRDefault="00AF3E21" w:rsidP="00AF3E21">
      <w:pPr>
        <w:pStyle w:val="aDef"/>
      </w:pPr>
      <w:r w:rsidRPr="00B41DFA">
        <w:rPr>
          <w:rStyle w:val="charBoldItals"/>
        </w:rPr>
        <w:t>person conducting a ballot</w:t>
      </w:r>
      <w:r w:rsidRPr="00B41DFA">
        <w:t>, for a ballot held by a club</w:t>
      </w:r>
      <w:r w:rsidRPr="00B41DFA">
        <w:rPr>
          <w:lang w:eastAsia="en-AU"/>
        </w:rPr>
        <w:t>, for part 4 (Ballots)—see section 13.</w:t>
      </w:r>
    </w:p>
    <w:p w:rsidR="00D059DC" w:rsidRPr="000E481D" w:rsidRDefault="00D059DC" w:rsidP="00D059DC">
      <w:pPr>
        <w:pStyle w:val="aDef"/>
      </w:pPr>
      <w:r w:rsidRPr="000E481D">
        <w:rPr>
          <w:rStyle w:val="charBoldItals"/>
        </w:rPr>
        <w:t>player account card</w:t>
      </w:r>
      <w:r w:rsidRPr="000E481D">
        <w:t>, in relation to an individual’s player account, for part 6 (Cashless gaming systems)—see section 27.</w:t>
      </w:r>
    </w:p>
    <w:p w:rsidR="00D059DC" w:rsidRPr="000E481D" w:rsidRDefault="00D059DC" w:rsidP="00D059DC">
      <w:pPr>
        <w:pStyle w:val="aDef"/>
        <w:rPr>
          <w:b/>
        </w:rPr>
      </w:pPr>
      <w:r w:rsidRPr="000E481D">
        <w:rPr>
          <w:rStyle w:val="charBoldItals"/>
        </w:rPr>
        <w:t>redeems</w:t>
      </w:r>
      <w:r w:rsidRPr="000E481D">
        <w:t xml:space="preserve"> gaming credits, for part 6 (Cashless gaming systems)—see section 27.</w:t>
      </w:r>
    </w:p>
    <w:p w:rsidR="00FF2FDB" w:rsidRPr="00AE589E" w:rsidRDefault="00FF2FDB" w:rsidP="00AF3E21">
      <w:pPr>
        <w:pStyle w:val="aDef"/>
        <w:keepNext/>
      </w:pPr>
      <w:r w:rsidRPr="00AE589E">
        <w:rPr>
          <w:rStyle w:val="charBoldItals"/>
        </w:rPr>
        <w:lastRenderedPageBreak/>
        <w:t>relevant gaming machine application</w:t>
      </w:r>
      <w:r w:rsidRPr="00AE589E">
        <w:t>, for part 3 (Social impact assessments)—see section 9.</w:t>
      </w:r>
    </w:p>
    <w:p w:rsidR="009720B3" w:rsidRDefault="009720B3">
      <w:pPr>
        <w:pStyle w:val="aDef"/>
        <w:rPr>
          <w:bCs/>
          <w:iCs/>
        </w:rPr>
      </w:pPr>
      <w:r>
        <w:rPr>
          <w:rStyle w:val="charBoldItals"/>
        </w:rPr>
        <w:t>relevant premises</w:t>
      </w:r>
      <w:r>
        <w:rPr>
          <w:bCs/>
          <w:iCs/>
        </w:rPr>
        <w:t>, for part 3 (Social impact assessments)—see section 9.</w:t>
      </w:r>
    </w:p>
    <w:p w:rsidR="00FF2FDB" w:rsidRPr="00AE589E" w:rsidRDefault="00FF2FDB" w:rsidP="00FF2FDB">
      <w:pPr>
        <w:pStyle w:val="aDef"/>
      </w:pPr>
      <w:r w:rsidRPr="00AE589E">
        <w:rPr>
          <w:rStyle w:val="charBoldItals"/>
        </w:rPr>
        <w:t>single-user approval</w:t>
      </w:r>
      <w:r w:rsidRPr="00AE589E">
        <w:t xml:space="preserve">, for part 8 (Linked-jackpot arrangements)—see section 40. </w:t>
      </w:r>
    </w:p>
    <w:p w:rsidR="009720B3" w:rsidRDefault="009720B3">
      <w:pPr>
        <w:pStyle w:val="aDef"/>
      </w:pPr>
      <w:r>
        <w:rPr>
          <w:rStyle w:val="charBoldItals"/>
        </w:rPr>
        <w:t>voting close date</w:t>
      </w:r>
      <w:r>
        <w:t>, for part 4 (Ballots)—see section 16 (1).</w:t>
      </w:r>
    </w:p>
    <w:p w:rsidR="00AF3E21" w:rsidRPr="00B41DFA" w:rsidRDefault="00AF3E21" w:rsidP="00AF3E21">
      <w:pPr>
        <w:pStyle w:val="aDef"/>
      </w:pPr>
      <w:r w:rsidRPr="00B41DFA">
        <w:rPr>
          <w:rStyle w:val="charBoldItals"/>
        </w:rPr>
        <w:t>voting document</w:t>
      </w:r>
      <w:r w:rsidRPr="00B41DFA">
        <w:t xml:space="preserve">, </w:t>
      </w:r>
      <w:r w:rsidRPr="00B41DFA">
        <w:rPr>
          <w:lang w:eastAsia="en-AU"/>
        </w:rPr>
        <w:t>for part 4 (Ballots)—see section 13.</w:t>
      </w:r>
    </w:p>
    <w:p w:rsidR="007B1F43" w:rsidRDefault="007B1F43">
      <w:pPr>
        <w:pStyle w:val="04Dictionary"/>
        <w:sectPr w:rsidR="007B1F43">
          <w:headerReference w:type="even" r:id="rId96"/>
          <w:headerReference w:type="default" r:id="rId97"/>
          <w:footerReference w:type="even" r:id="rId98"/>
          <w:footerReference w:type="default" r:id="rId99"/>
          <w:type w:val="continuous"/>
          <w:pgSz w:w="11907" w:h="16839" w:code="9"/>
          <w:pgMar w:top="3000" w:right="1900" w:bottom="2500" w:left="2300" w:header="2480" w:footer="2100" w:gutter="0"/>
          <w:cols w:space="720"/>
          <w:docGrid w:linePitch="254"/>
        </w:sectPr>
      </w:pPr>
    </w:p>
    <w:p w:rsidR="00B305D1" w:rsidRDefault="00B305D1">
      <w:pPr>
        <w:pStyle w:val="Endnote1"/>
      </w:pPr>
      <w:bookmarkStart w:id="105" w:name="_Toc532221283"/>
      <w:r>
        <w:lastRenderedPageBreak/>
        <w:t>Endnotes</w:t>
      </w:r>
      <w:bookmarkEnd w:id="105"/>
    </w:p>
    <w:p w:rsidR="00B305D1" w:rsidRPr="00B043CD" w:rsidRDefault="00B305D1">
      <w:pPr>
        <w:pStyle w:val="Endnote20"/>
      </w:pPr>
      <w:bookmarkStart w:id="106" w:name="_Toc532221284"/>
      <w:r w:rsidRPr="00B043CD">
        <w:rPr>
          <w:rStyle w:val="charTableNo"/>
        </w:rPr>
        <w:t>1</w:t>
      </w:r>
      <w:r>
        <w:tab/>
      </w:r>
      <w:r w:rsidRPr="00B043CD">
        <w:rPr>
          <w:rStyle w:val="charTableText"/>
        </w:rPr>
        <w:t>About the endnotes</w:t>
      </w:r>
      <w:bookmarkEnd w:id="106"/>
    </w:p>
    <w:p w:rsidR="00B305D1" w:rsidRDefault="00B305D1">
      <w:pPr>
        <w:pStyle w:val="EndNoteTextPub"/>
      </w:pPr>
      <w:r>
        <w:t>Amending and modifying laws are annotated in the legislation history and the amendment history.  Current modifications are not included in the republished law but are set out in the endnotes.</w:t>
      </w:r>
    </w:p>
    <w:p w:rsidR="00B305D1" w:rsidRDefault="00B305D1">
      <w:pPr>
        <w:pStyle w:val="EndNoteTextPub"/>
      </w:pPr>
      <w:r>
        <w:t xml:space="preserve">Not all editorial amendments made under the </w:t>
      </w:r>
      <w:hyperlink r:id="rId100" w:tooltip="A2001-14" w:history="1">
        <w:r w:rsidR="000812EE" w:rsidRPr="000812EE">
          <w:rPr>
            <w:rStyle w:val="charCitHyperlinkItal"/>
          </w:rPr>
          <w:t>Legislation Act 2001</w:t>
        </w:r>
      </w:hyperlink>
      <w:r>
        <w:t>, part 11.3 are annotated in the amendment history.  Full details of any amendments can be obtained from the Parliamentary Counsel’s Office.</w:t>
      </w:r>
    </w:p>
    <w:p w:rsidR="00B305D1" w:rsidRDefault="00B305D1" w:rsidP="00575C1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B305D1" w:rsidRDefault="00B305D1">
      <w:pPr>
        <w:pStyle w:val="EndNoteTextPub"/>
      </w:pPr>
      <w:r>
        <w:t xml:space="preserve">If all the provisions of the law have been renumbered, a table of renumbered provisions gives details of previous and current numbering.  </w:t>
      </w:r>
    </w:p>
    <w:p w:rsidR="00B305D1" w:rsidRDefault="00B305D1">
      <w:pPr>
        <w:pStyle w:val="EndNoteTextPub"/>
      </w:pPr>
      <w:r>
        <w:t>The endnotes also include a table of earlier republications.</w:t>
      </w:r>
    </w:p>
    <w:p w:rsidR="00B305D1" w:rsidRPr="00B043CD" w:rsidRDefault="00B305D1">
      <w:pPr>
        <w:pStyle w:val="Endnote20"/>
      </w:pPr>
      <w:bookmarkStart w:id="107" w:name="_Toc532221285"/>
      <w:r w:rsidRPr="00B043CD">
        <w:rPr>
          <w:rStyle w:val="charTableNo"/>
        </w:rPr>
        <w:t>2</w:t>
      </w:r>
      <w:r>
        <w:tab/>
      </w:r>
      <w:r w:rsidRPr="00B043CD">
        <w:rPr>
          <w:rStyle w:val="charTableText"/>
        </w:rPr>
        <w:t>Abbreviation key</w:t>
      </w:r>
      <w:bookmarkEnd w:id="107"/>
    </w:p>
    <w:p w:rsidR="00B305D1" w:rsidRDefault="00B305D1">
      <w:pPr>
        <w:rPr>
          <w:sz w:val="4"/>
        </w:rPr>
      </w:pPr>
    </w:p>
    <w:tbl>
      <w:tblPr>
        <w:tblW w:w="7372" w:type="dxa"/>
        <w:tblInd w:w="1100" w:type="dxa"/>
        <w:tblLayout w:type="fixed"/>
        <w:tblLook w:val="0000" w:firstRow="0" w:lastRow="0" w:firstColumn="0" w:lastColumn="0" w:noHBand="0" w:noVBand="0"/>
      </w:tblPr>
      <w:tblGrid>
        <w:gridCol w:w="3720"/>
        <w:gridCol w:w="3652"/>
      </w:tblGrid>
      <w:tr w:rsidR="00B305D1" w:rsidTr="00575C11">
        <w:tc>
          <w:tcPr>
            <w:tcW w:w="3720" w:type="dxa"/>
          </w:tcPr>
          <w:p w:rsidR="00B305D1" w:rsidRDefault="00B305D1">
            <w:pPr>
              <w:pStyle w:val="EndnotesAbbrev"/>
            </w:pPr>
            <w:r>
              <w:t>A = Act</w:t>
            </w:r>
          </w:p>
        </w:tc>
        <w:tc>
          <w:tcPr>
            <w:tcW w:w="3652" w:type="dxa"/>
          </w:tcPr>
          <w:p w:rsidR="00B305D1" w:rsidRDefault="00B305D1" w:rsidP="00575C11">
            <w:pPr>
              <w:pStyle w:val="EndnotesAbbrev"/>
            </w:pPr>
            <w:r>
              <w:t>NI = Notifiable instrument</w:t>
            </w:r>
          </w:p>
        </w:tc>
      </w:tr>
      <w:tr w:rsidR="00B305D1" w:rsidTr="00575C11">
        <w:tc>
          <w:tcPr>
            <w:tcW w:w="3720" w:type="dxa"/>
          </w:tcPr>
          <w:p w:rsidR="00B305D1" w:rsidRDefault="00B305D1" w:rsidP="00575C11">
            <w:pPr>
              <w:pStyle w:val="EndnotesAbbrev"/>
            </w:pPr>
            <w:r>
              <w:t>AF = Approved form</w:t>
            </w:r>
          </w:p>
        </w:tc>
        <w:tc>
          <w:tcPr>
            <w:tcW w:w="3652" w:type="dxa"/>
          </w:tcPr>
          <w:p w:rsidR="00B305D1" w:rsidRDefault="00B305D1" w:rsidP="00575C11">
            <w:pPr>
              <w:pStyle w:val="EndnotesAbbrev"/>
            </w:pPr>
            <w:r>
              <w:t>o = order</w:t>
            </w:r>
          </w:p>
        </w:tc>
      </w:tr>
      <w:tr w:rsidR="00B305D1" w:rsidTr="00575C11">
        <w:tc>
          <w:tcPr>
            <w:tcW w:w="3720" w:type="dxa"/>
          </w:tcPr>
          <w:p w:rsidR="00B305D1" w:rsidRDefault="00B305D1">
            <w:pPr>
              <w:pStyle w:val="EndnotesAbbrev"/>
            </w:pPr>
            <w:r>
              <w:t>am = amended</w:t>
            </w:r>
          </w:p>
        </w:tc>
        <w:tc>
          <w:tcPr>
            <w:tcW w:w="3652" w:type="dxa"/>
          </w:tcPr>
          <w:p w:rsidR="00B305D1" w:rsidRDefault="00B305D1" w:rsidP="00575C11">
            <w:pPr>
              <w:pStyle w:val="EndnotesAbbrev"/>
            </w:pPr>
            <w:r>
              <w:t>om = omitted/repealed</w:t>
            </w:r>
          </w:p>
        </w:tc>
      </w:tr>
      <w:tr w:rsidR="00B305D1" w:rsidTr="00575C11">
        <w:tc>
          <w:tcPr>
            <w:tcW w:w="3720" w:type="dxa"/>
          </w:tcPr>
          <w:p w:rsidR="00B305D1" w:rsidRDefault="00B305D1">
            <w:pPr>
              <w:pStyle w:val="EndnotesAbbrev"/>
            </w:pPr>
            <w:r>
              <w:t>amdt = amendment</w:t>
            </w:r>
          </w:p>
        </w:tc>
        <w:tc>
          <w:tcPr>
            <w:tcW w:w="3652" w:type="dxa"/>
          </w:tcPr>
          <w:p w:rsidR="00B305D1" w:rsidRDefault="00B305D1" w:rsidP="00575C11">
            <w:pPr>
              <w:pStyle w:val="EndnotesAbbrev"/>
            </w:pPr>
            <w:r>
              <w:t>ord = ordinance</w:t>
            </w:r>
          </w:p>
        </w:tc>
      </w:tr>
      <w:tr w:rsidR="00B305D1" w:rsidTr="00575C11">
        <w:tc>
          <w:tcPr>
            <w:tcW w:w="3720" w:type="dxa"/>
          </w:tcPr>
          <w:p w:rsidR="00B305D1" w:rsidRDefault="00B305D1">
            <w:pPr>
              <w:pStyle w:val="EndnotesAbbrev"/>
            </w:pPr>
            <w:r>
              <w:t>AR = Assembly resolution</w:t>
            </w:r>
          </w:p>
        </w:tc>
        <w:tc>
          <w:tcPr>
            <w:tcW w:w="3652" w:type="dxa"/>
          </w:tcPr>
          <w:p w:rsidR="00B305D1" w:rsidRDefault="00B305D1" w:rsidP="00575C11">
            <w:pPr>
              <w:pStyle w:val="EndnotesAbbrev"/>
            </w:pPr>
            <w:r>
              <w:t>orig = original</w:t>
            </w:r>
          </w:p>
        </w:tc>
      </w:tr>
      <w:tr w:rsidR="00B305D1" w:rsidTr="00575C11">
        <w:tc>
          <w:tcPr>
            <w:tcW w:w="3720" w:type="dxa"/>
          </w:tcPr>
          <w:p w:rsidR="00B305D1" w:rsidRDefault="00B305D1">
            <w:pPr>
              <w:pStyle w:val="EndnotesAbbrev"/>
            </w:pPr>
            <w:r>
              <w:t>ch = chapter</w:t>
            </w:r>
          </w:p>
        </w:tc>
        <w:tc>
          <w:tcPr>
            <w:tcW w:w="3652" w:type="dxa"/>
          </w:tcPr>
          <w:p w:rsidR="00B305D1" w:rsidRDefault="00B305D1" w:rsidP="00575C11">
            <w:pPr>
              <w:pStyle w:val="EndnotesAbbrev"/>
            </w:pPr>
            <w:r>
              <w:t>par = paragraph/subparagraph</w:t>
            </w:r>
          </w:p>
        </w:tc>
      </w:tr>
      <w:tr w:rsidR="00B305D1" w:rsidTr="00575C11">
        <w:tc>
          <w:tcPr>
            <w:tcW w:w="3720" w:type="dxa"/>
          </w:tcPr>
          <w:p w:rsidR="00B305D1" w:rsidRDefault="00B305D1">
            <w:pPr>
              <w:pStyle w:val="EndnotesAbbrev"/>
            </w:pPr>
            <w:r>
              <w:t>CN = Commencement notice</w:t>
            </w:r>
          </w:p>
        </w:tc>
        <w:tc>
          <w:tcPr>
            <w:tcW w:w="3652" w:type="dxa"/>
          </w:tcPr>
          <w:p w:rsidR="00B305D1" w:rsidRDefault="00B305D1" w:rsidP="00575C11">
            <w:pPr>
              <w:pStyle w:val="EndnotesAbbrev"/>
            </w:pPr>
            <w:r>
              <w:t>pres = present</w:t>
            </w:r>
          </w:p>
        </w:tc>
      </w:tr>
      <w:tr w:rsidR="00B305D1" w:rsidTr="00575C11">
        <w:tc>
          <w:tcPr>
            <w:tcW w:w="3720" w:type="dxa"/>
          </w:tcPr>
          <w:p w:rsidR="00B305D1" w:rsidRDefault="00B305D1">
            <w:pPr>
              <w:pStyle w:val="EndnotesAbbrev"/>
            </w:pPr>
            <w:r>
              <w:t>def = definition</w:t>
            </w:r>
          </w:p>
        </w:tc>
        <w:tc>
          <w:tcPr>
            <w:tcW w:w="3652" w:type="dxa"/>
          </w:tcPr>
          <w:p w:rsidR="00B305D1" w:rsidRDefault="00B305D1" w:rsidP="00575C11">
            <w:pPr>
              <w:pStyle w:val="EndnotesAbbrev"/>
            </w:pPr>
            <w:r>
              <w:t>prev = previous</w:t>
            </w:r>
          </w:p>
        </w:tc>
      </w:tr>
      <w:tr w:rsidR="00B305D1" w:rsidTr="00575C11">
        <w:tc>
          <w:tcPr>
            <w:tcW w:w="3720" w:type="dxa"/>
          </w:tcPr>
          <w:p w:rsidR="00B305D1" w:rsidRDefault="00B305D1">
            <w:pPr>
              <w:pStyle w:val="EndnotesAbbrev"/>
            </w:pPr>
            <w:r>
              <w:t>DI = Disallowable instrument</w:t>
            </w:r>
          </w:p>
        </w:tc>
        <w:tc>
          <w:tcPr>
            <w:tcW w:w="3652" w:type="dxa"/>
          </w:tcPr>
          <w:p w:rsidR="00B305D1" w:rsidRDefault="00B305D1" w:rsidP="00575C11">
            <w:pPr>
              <w:pStyle w:val="EndnotesAbbrev"/>
            </w:pPr>
            <w:r>
              <w:t>(prev...) = previously</w:t>
            </w:r>
          </w:p>
        </w:tc>
      </w:tr>
      <w:tr w:rsidR="00B305D1" w:rsidTr="00575C11">
        <w:tc>
          <w:tcPr>
            <w:tcW w:w="3720" w:type="dxa"/>
          </w:tcPr>
          <w:p w:rsidR="00B305D1" w:rsidRDefault="00B305D1">
            <w:pPr>
              <w:pStyle w:val="EndnotesAbbrev"/>
            </w:pPr>
            <w:r>
              <w:t>dict = dictionary</w:t>
            </w:r>
          </w:p>
        </w:tc>
        <w:tc>
          <w:tcPr>
            <w:tcW w:w="3652" w:type="dxa"/>
          </w:tcPr>
          <w:p w:rsidR="00B305D1" w:rsidRDefault="00B305D1" w:rsidP="00575C11">
            <w:pPr>
              <w:pStyle w:val="EndnotesAbbrev"/>
            </w:pPr>
            <w:r>
              <w:t>pt = part</w:t>
            </w:r>
          </w:p>
        </w:tc>
      </w:tr>
      <w:tr w:rsidR="00B305D1" w:rsidTr="00575C11">
        <w:tc>
          <w:tcPr>
            <w:tcW w:w="3720" w:type="dxa"/>
          </w:tcPr>
          <w:p w:rsidR="00B305D1" w:rsidRDefault="00B305D1">
            <w:pPr>
              <w:pStyle w:val="EndnotesAbbrev"/>
            </w:pPr>
            <w:r>
              <w:t xml:space="preserve">disallowed = disallowed by the Legislative </w:t>
            </w:r>
          </w:p>
        </w:tc>
        <w:tc>
          <w:tcPr>
            <w:tcW w:w="3652" w:type="dxa"/>
          </w:tcPr>
          <w:p w:rsidR="00B305D1" w:rsidRDefault="00B305D1" w:rsidP="00575C11">
            <w:pPr>
              <w:pStyle w:val="EndnotesAbbrev"/>
            </w:pPr>
            <w:r>
              <w:t>r = rule/subrule</w:t>
            </w:r>
          </w:p>
        </w:tc>
      </w:tr>
      <w:tr w:rsidR="00B305D1" w:rsidTr="00575C11">
        <w:tc>
          <w:tcPr>
            <w:tcW w:w="3720" w:type="dxa"/>
          </w:tcPr>
          <w:p w:rsidR="00B305D1" w:rsidRDefault="00B305D1">
            <w:pPr>
              <w:pStyle w:val="EndnotesAbbrev"/>
              <w:ind w:left="972"/>
            </w:pPr>
            <w:r>
              <w:t>Assembly</w:t>
            </w:r>
          </w:p>
        </w:tc>
        <w:tc>
          <w:tcPr>
            <w:tcW w:w="3652" w:type="dxa"/>
          </w:tcPr>
          <w:p w:rsidR="00B305D1" w:rsidRDefault="00B305D1" w:rsidP="00575C11">
            <w:pPr>
              <w:pStyle w:val="EndnotesAbbrev"/>
            </w:pPr>
            <w:r>
              <w:t>reloc = relocated</w:t>
            </w:r>
          </w:p>
        </w:tc>
      </w:tr>
      <w:tr w:rsidR="00B305D1" w:rsidTr="00575C11">
        <w:tc>
          <w:tcPr>
            <w:tcW w:w="3720" w:type="dxa"/>
          </w:tcPr>
          <w:p w:rsidR="00B305D1" w:rsidRDefault="00B305D1">
            <w:pPr>
              <w:pStyle w:val="EndnotesAbbrev"/>
            </w:pPr>
            <w:r>
              <w:t>div = division</w:t>
            </w:r>
          </w:p>
        </w:tc>
        <w:tc>
          <w:tcPr>
            <w:tcW w:w="3652" w:type="dxa"/>
          </w:tcPr>
          <w:p w:rsidR="00B305D1" w:rsidRDefault="00B305D1" w:rsidP="00575C11">
            <w:pPr>
              <w:pStyle w:val="EndnotesAbbrev"/>
            </w:pPr>
            <w:r>
              <w:t>renum = renumbered</w:t>
            </w:r>
          </w:p>
        </w:tc>
      </w:tr>
      <w:tr w:rsidR="00B305D1" w:rsidTr="00575C11">
        <w:tc>
          <w:tcPr>
            <w:tcW w:w="3720" w:type="dxa"/>
          </w:tcPr>
          <w:p w:rsidR="00B305D1" w:rsidRDefault="00B305D1">
            <w:pPr>
              <w:pStyle w:val="EndnotesAbbrev"/>
            </w:pPr>
            <w:r>
              <w:t>exp = expires/expired</w:t>
            </w:r>
          </w:p>
        </w:tc>
        <w:tc>
          <w:tcPr>
            <w:tcW w:w="3652" w:type="dxa"/>
          </w:tcPr>
          <w:p w:rsidR="00B305D1" w:rsidRDefault="00B305D1" w:rsidP="00575C11">
            <w:pPr>
              <w:pStyle w:val="EndnotesAbbrev"/>
            </w:pPr>
            <w:r>
              <w:t>R[X] = Republication No</w:t>
            </w:r>
          </w:p>
        </w:tc>
      </w:tr>
      <w:tr w:rsidR="00B305D1" w:rsidTr="00575C11">
        <w:tc>
          <w:tcPr>
            <w:tcW w:w="3720" w:type="dxa"/>
          </w:tcPr>
          <w:p w:rsidR="00B305D1" w:rsidRDefault="00B305D1">
            <w:pPr>
              <w:pStyle w:val="EndnotesAbbrev"/>
            </w:pPr>
            <w:r>
              <w:t>Gaz = gazette</w:t>
            </w:r>
          </w:p>
        </w:tc>
        <w:tc>
          <w:tcPr>
            <w:tcW w:w="3652" w:type="dxa"/>
          </w:tcPr>
          <w:p w:rsidR="00B305D1" w:rsidRDefault="00B305D1" w:rsidP="00575C11">
            <w:pPr>
              <w:pStyle w:val="EndnotesAbbrev"/>
            </w:pPr>
            <w:r>
              <w:t>RI = reissue</w:t>
            </w:r>
          </w:p>
        </w:tc>
      </w:tr>
      <w:tr w:rsidR="00B305D1" w:rsidTr="00575C11">
        <w:tc>
          <w:tcPr>
            <w:tcW w:w="3720" w:type="dxa"/>
          </w:tcPr>
          <w:p w:rsidR="00B305D1" w:rsidRDefault="00B305D1">
            <w:pPr>
              <w:pStyle w:val="EndnotesAbbrev"/>
            </w:pPr>
            <w:r>
              <w:t>hdg = heading</w:t>
            </w:r>
          </w:p>
        </w:tc>
        <w:tc>
          <w:tcPr>
            <w:tcW w:w="3652" w:type="dxa"/>
          </w:tcPr>
          <w:p w:rsidR="00B305D1" w:rsidRDefault="00B305D1" w:rsidP="00575C11">
            <w:pPr>
              <w:pStyle w:val="EndnotesAbbrev"/>
            </w:pPr>
            <w:r>
              <w:t>s = section/subsection</w:t>
            </w:r>
          </w:p>
        </w:tc>
      </w:tr>
      <w:tr w:rsidR="00B305D1" w:rsidTr="00575C11">
        <w:tc>
          <w:tcPr>
            <w:tcW w:w="3720" w:type="dxa"/>
          </w:tcPr>
          <w:p w:rsidR="00B305D1" w:rsidRDefault="00B305D1">
            <w:pPr>
              <w:pStyle w:val="EndnotesAbbrev"/>
            </w:pPr>
            <w:r>
              <w:t>IA = Interpretation Act 1967</w:t>
            </w:r>
          </w:p>
        </w:tc>
        <w:tc>
          <w:tcPr>
            <w:tcW w:w="3652" w:type="dxa"/>
          </w:tcPr>
          <w:p w:rsidR="00B305D1" w:rsidRDefault="00B305D1" w:rsidP="00575C11">
            <w:pPr>
              <w:pStyle w:val="EndnotesAbbrev"/>
            </w:pPr>
            <w:r>
              <w:t>sch = schedule</w:t>
            </w:r>
          </w:p>
        </w:tc>
      </w:tr>
      <w:tr w:rsidR="00B305D1" w:rsidTr="00575C11">
        <w:tc>
          <w:tcPr>
            <w:tcW w:w="3720" w:type="dxa"/>
          </w:tcPr>
          <w:p w:rsidR="00B305D1" w:rsidRDefault="00B305D1">
            <w:pPr>
              <w:pStyle w:val="EndnotesAbbrev"/>
            </w:pPr>
            <w:r>
              <w:t>ins = inserted/added</w:t>
            </w:r>
          </w:p>
        </w:tc>
        <w:tc>
          <w:tcPr>
            <w:tcW w:w="3652" w:type="dxa"/>
          </w:tcPr>
          <w:p w:rsidR="00B305D1" w:rsidRDefault="00B305D1" w:rsidP="00575C11">
            <w:pPr>
              <w:pStyle w:val="EndnotesAbbrev"/>
            </w:pPr>
            <w:r>
              <w:t>sdiv = subdivision</w:t>
            </w:r>
          </w:p>
        </w:tc>
      </w:tr>
      <w:tr w:rsidR="00B305D1" w:rsidTr="00575C11">
        <w:tc>
          <w:tcPr>
            <w:tcW w:w="3720" w:type="dxa"/>
          </w:tcPr>
          <w:p w:rsidR="00B305D1" w:rsidRDefault="00B305D1">
            <w:pPr>
              <w:pStyle w:val="EndnotesAbbrev"/>
            </w:pPr>
            <w:r>
              <w:t>LA = Legislation Act 2001</w:t>
            </w:r>
          </w:p>
        </w:tc>
        <w:tc>
          <w:tcPr>
            <w:tcW w:w="3652" w:type="dxa"/>
          </w:tcPr>
          <w:p w:rsidR="00B305D1" w:rsidRDefault="00B305D1" w:rsidP="00575C11">
            <w:pPr>
              <w:pStyle w:val="EndnotesAbbrev"/>
            </w:pPr>
            <w:r>
              <w:t>SL = Subordinate law</w:t>
            </w:r>
          </w:p>
        </w:tc>
      </w:tr>
      <w:tr w:rsidR="00B305D1" w:rsidTr="00575C11">
        <w:tc>
          <w:tcPr>
            <w:tcW w:w="3720" w:type="dxa"/>
          </w:tcPr>
          <w:p w:rsidR="00B305D1" w:rsidRDefault="00B305D1">
            <w:pPr>
              <w:pStyle w:val="EndnotesAbbrev"/>
            </w:pPr>
            <w:r>
              <w:t>LR = legislation register</w:t>
            </w:r>
          </w:p>
        </w:tc>
        <w:tc>
          <w:tcPr>
            <w:tcW w:w="3652" w:type="dxa"/>
          </w:tcPr>
          <w:p w:rsidR="00B305D1" w:rsidRDefault="00B305D1" w:rsidP="00575C11">
            <w:pPr>
              <w:pStyle w:val="EndnotesAbbrev"/>
            </w:pPr>
            <w:r>
              <w:t>sub = substituted</w:t>
            </w:r>
          </w:p>
        </w:tc>
      </w:tr>
      <w:tr w:rsidR="00B305D1" w:rsidTr="00575C11">
        <w:tc>
          <w:tcPr>
            <w:tcW w:w="3720" w:type="dxa"/>
          </w:tcPr>
          <w:p w:rsidR="00B305D1" w:rsidRDefault="00B305D1">
            <w:pPr>
              <w:pStyle w:val="EndnotesAbbrev"/>
            </w:pPr>
            <w:r>
              <w:t>LRA = Legislation (Republication) Act 1996</w:t>
            </w:r>
          </w:p>
        </w:tc>
        <w:tc>
          <w:tcPr>
            <w:tcW w:w="3652" w:type="dxa"/>
          </w:tcPr>
          <w:p w:rsidR="00B305D1" w:rsidRDefault="00B305D1" w:rsidP="00575C11">
            <w:pPr>
              <w:pStyle w:val="EndnotesAbbrev"/>
            </w:pPr>
            <w:r w:rsidRPr="000812EE">
              <w:rPr>
                <w:rStyle w:val="charUnderline"/>
              </w:rPr>
              <w:t>underlining</w:t>
            </w:r>
            <w:r>
              <w:t xml:space="preserve"> = whole or part not commenced</w:t>
            </w:r>
          </w:p>
        </w:tc>
      </w:tr>
      <w:tr w:rsidR="00B305D1" w:rsidTr="00575C11">
        <w:tc>
          <w:tcPr>
            <w:tcW w:w="3720" w:type="dxa"/>
          </w:tcPr>
          <w:p w:rsidR="00B305D1" w:rsidRDefault="00B305D1">
            <w:pPr>
              <w:pStyle w:val="EndnotesAbbrev"/>
            </w:pPr>
            <w:r>
              <w:t>mod = modified/modification</w:t>
            </w:r>
          </w:p>
        </w:tc>
        <w:tc>
          <w:tcPr>
            <w:tcW w:w="3652" w:type="dxa"/>
          </w:tcPr>
          <w:p w:rsidR="00B305D1" w:rsidRDefault="00B305D1" w:rsidP="00575C11">
            <w:pPr>
              <w:pStyle w:val="EndnotesAbbrev"/>
              <w:ind w:left="1073"/>
            </w:pPr>
            <w:r>
              <w:t>or to be expired</w:t>
            </w:r>
          </w:p>
        </w:tc>
      </w:tr>
    </w:tbl>
    <w:p w:rsidR="00B305D1" w:rsidRPr="00BB6F39" w:rsidRDefault="00B305D1" w:rsidP="00575C11"/>
    <w:p w:rsidR="009720B3" w:rsidRDefault="009720B3">
      <w:pPr>
        <w:pStyle w:val="PageBreak"/>
      </w:pPr>
      <w:r>
        <w:br w:type="page"/>
      </w:r>
    </w:p>
    <w:p w:rsidR="009720B3" w:rsidRPr="00B043CD" w:rsidRDefault="009720B3">
      <w:pPr>
        <w:pStyle w:val="Endnote20"/>
      </w:pPr>
      <w:bookmarkStart w:id="108" w:name="_Toc532221286"/>
      <w:r w:rsidRPr="00B043CD">
        <w:rPr>
          <w:rStyle w:val="charTableNo"/>
        </w:rPr>
        <w:lastRenderedPageBreak/>
        <w:t>3</w:t>
      </w:r>
      <w:r>
        <w:tab/>
      </w:r>
      <w:r w:rsidRPr="00B043CD">
        <w:rPr>
          <w:rStyle w:val="charTableText"/>
        </w:rPr>
        <w:t>Legislation history</w:t>
      </w:r>
      <w:bookmarkEnd w:id="108"/>
    </w:p>
    <w:p w:rsidR="009720B3" w:rsidRDefault="009720B3">
      <w:pPr>
        <w:pStyle w:val="EndNoteTextEPS"/>
      </w:pPr>
      <w:r>
        <w:t xml:space="preserve">This regulation was originally the </w:t>
      </w:r>
      <w:r w:rsidR="000812EE" w:rsidRPr="007161E4">
        <w:rPr>
          <w:i/>
        </w:rPr>
        <w:t>Gaming Machine Regulations 2004</w:t>
      </w:r>
      <w:r w:rsidRPr="007161E4">
        <w:t xml:space="preserve">. </w:t>
      </w:r>
      <w:r>
        <w:t xml:space="preserve"> It was renamed under the </w:t>
      </w:r>
      <w:hyperlink r:id="rId101" w:tooltip="A2001-14" w:history="1">
        <w:r w:rsidR="000812EE" w:rsidRPr="000812EE">
          <w:rPr>
            <w:rStyle w:val="charCitHyperlinkItal"/>
          </w:rPr>
          <w:t>Legislation Act 2001</w:t>
        </w:r>
      </w:hyperlink>
      <w:r>
        <w:t>.</w:t>
      </w:r>
    </w:p>
    <w:p w:rsidR="009720B3" w:rsidRDefault="009720B3">
      <w:pPr>
        <w:pStyle w:val="NewReg"/>
      </w:pPr>
      <w:r>
        <w:t>Gaming Machine Regulation 2004 SL2004-30</w:t>
      </w:r>
    </w:p>
    <w:p w:rsidR="009720B3" w:rsidRDefault="009720B3">
      <w:pPr>
        <w:pStyle w:val="Actdetails"/>
        <w:keepNext/>
      </w:pPr>
      <w:r>
        <w:t>notified LR 30 July 2004</w:t>
      </w:r>
    </w:p>
    <w:p w:rsidR="009720B3" w:rsidRPr="000812EE" w:rsidRDefault="009720B3">
      <w:pPr>
        <w:pStyle w:val="Actdetails"/>
        <w:keepNext/>
      </w:pPr>
      <w:r>
        <w:t>s 1, s 2 commenced 30 July 2004 (LA s 75 (1))</w:t>
      </w:r>
    </w:p>
    <w:p w:rsidR="009720B3" w:rsidRPr="000812EE" w:rsidRDefault="009720B3">
      <w:pPr>
        <w:pStyle w:val="Actdetails"/>
        <w:rPr>
          <w:rFonts w:cs="Arial"/>
        </w:rPr>
      </w:pPr>
      <w:r w:rsidRPr="000812EE">
        <w:rPr>
          <w:rFonts w:cs="Arial"/>
        </w:rPr>
        <w:t xml:space="preserve">remainder commenced 1 November 2004 (s 2 and see </w:t>
      </w:r>
      <w:hyperlink r:id="rId102" w:tooltip="A2004-34" w:history="1">
        <w:r w:rsidR="000812EE" w:rsidRPr="000812EE">
          <w:rPr>
            <w:rStyle w:val="charCitHyperlinkAbbrev"/>
          </w:rPr>
          <w:t>Gaming Machine Act 2004</w:t>
        </w:r>
      </w:hyperlink>
      <w:r w:rsidRPr="000812EE">
        <w:rPr>
          <w:rFonts w:cs="Arial"/>
        </w:rPr>
        <w:t xml:space="preserve"> A2004-34, s 2 and </w:t>
      </w:r>
      <w:hyperlink r:id="rId103" w:tooltip="CN2004-14" w:history="1">
        <w:r w:rsidR="000812EE" w:rsidRPr="000812EE">
          <w:rPr>
            <w:rStyle w:val="charCitHyperlinkAbbrev"/>
          </w:rPr>
          <w:t>CN2004-14</w:t>
        </w:r>
      </w:hyperlink>
      <w:r w:rsidRPr="000812EE">
        <w:rPr>
          <w:rFonts w:cs="Arial"/>
        </w:rPr>
        <w:t>)</w:t>
      </w:r>
    </w:p>
    <w:p w:rsidR="009720B3" w:rsidRDefault="009720B3">
      <w:pPr>
        <w:pStyle w:val="Asamby"/>
      </w:pPr>
      <w:r>
        <w:t>as amended by</w:t>
      </w:r>
    </w:p>
    <w:p w:rsidR="009720B3" w:rsidRDefault="00CF7DD8">
      <w:pPr>
        <w:pStyle w:val="NewAct"/>
      </w:pPr>
      <w:hyperlink r:id="rId104" w:tooltip="A2007-40" w:history="1">
        <w:r w:rsidR="000812EE" w:rsidRPr="000812EE">
          <w:rPr>
            <w:rStyle w:val="charCitHyperlinkAbbrev"/>
          </w:rPr>
          <w:t>Gaming Machine Amendment Act 2007 (No 2)</w:t>
        </w:r>
      </w:hyperlink>
      <w:r w:rsidR="009720B3">
        <w:t xml:space="preserve"> A2007-40 sch 2</w:t>
      </w:r>
    </w:p>
    <w:p w:rsidR="009720B3" w:rsidRDefault="009720B3">
      <w:pPr>
        <w:pStyle w:val="Actdetails"/>
        <w:keepNext/>
      </w:pPr>
      <w:r>
        <w:t>notified LR 4 December 2007</w:t>
      </w:r>
    </w:p>
    <w:p w:rsidR="009720B3" w:rsidRDefault="009720B3">
      <w:pPr>
        <w:pStyle w:val="Actdetails"/>
        <w:keepNext/>
      </w:pPr>
      <w:r>
        <w:t>s 1, s 2 commenced 4 December 2007 (LA s 75 (1))</w:t>
      </w:r>
    </w:p>
    <w:p w:rsidR="009720B3" w:rsidRDefault="009720B3">
      <w:pPr>
        <w:pStyle w:val="Actdetails"/>
      </w:pPr>
      <w:r>
        <w:t>sch 2 commenced 5 December 2007 (s 2 (1))</w:t>
      </w:r>
    </w:p>
    <w:p w:rsidR="007B1F43" w:rsidRPr="00574BD0" w:rsidRDefault="00CF7DD8" w:rsidP="007B1F43">
      <w:pPr>
        <w:pStyle w:val="NewAct"/>
      </w:pPr>
      <w:hyperlink r:id="rId105" w:tooltip="A2009-49" w:history="1">
        <w:r w:rsidR="000812EE" w:rsidRPr="000812EE">
          <w:rPr>
            <w:rStyle w:val="charCitHyperlinkAbbrev"/>
          </w:rPr>
          <w:t>Statute Law Amendment Act 2009 (No 2)</w:t>
        </w:r>
      </w:hyperlink>
      <w:r w:rsidR="007B1F43" w:rsidRPr="00574BD0">
        <w:t> A2009-</w:t>
      </w:r>
      <w:r w:rsidR="007B1F43">
        <w:t>49 sch 1 pt 1</w:t>
      </w:r>
      <w:r w:rsidR="007B1F43" w:rsidRPr="00574BD0">
        <w:t>.</w:t>
      </w:r>
      <w:r w:rsidR="007B1F43">
        <w:t>7</w:t>
      </w:r>
    </w:p>
    <w:p w:rsidR="007B1F43" w:rsidRPr="00DB3D5E" w:rsidRDefault="007B1F43" w:rsidP="007B1F43">
      <w:pPr>
        <w:pStyle w:val="Actdetails"/>
        <w:keepNext/>
      </w:pPr>
      <w:r>
        <w:t>notified LR 26</w:t>
      </w:r>
      <w:r w:rsidRPr="00DB3D5E">
        <w:t xml:space="preserve"> </w:t>
      </w:r>
      <w:r>
        <w:t>November</w:t>
      </w:r>
      <w:r w:rsidRPr="00DB3D5E">
        <w:t xml:space="preserve"> 2009</w:t>
      </w:r>
    </w:p>
    <w:p w:rsidR="007B1F43" w:rsidRDefault="007B1F43" w:rsidP="007B1F43">
      <w:pPr>
        <w:pStyle w:val="Actdetails"/>
        <w:keepNext/>
      </w:pPr>
      <w:r>
        <w:t>s 1, s 2 commenced 26 November 2009 (LA s 75 (1))</w:t>
      </w:r>
    </w:p>
    <w:p w:rsidR="007B1F43" w:rsidRPr="00BF40E8" w:rsidRDefault="007B1F43" w:rsidP="00702793">
      <w:pPr>
        <w:pStyle w:val="Actdetails"/>
      </w:pPr>
      <w:r>
        <w:t>sch 1 pt 1.7 commenced 17</w:t>
      </w:r>
      <w:r w:rsidRPr="00BF40E8">
        <w:t xml:space="preserve"> </w:t>
      </w:r>
      <w:r>
        <w:t>December 2009 (s 2)</w:t>
      </w:r>
    </w:p>
    <w:p w:rsidR="005B33DF" w:rsidRDefault="00CF7DD8" w:rsidP="005B33DF">
      <w:pPr>
        <w:pStyle w:val="NewAct"/>
      </w:pPr>
      <w:hyperlink r:id="rId106" w:tooltip="A2011-24" w:history="1">
        <w:r w:rsidR="000812EE" w:rsidRPr="000812EE">
          <w:rPr>
            <w:rStyle w:val="charCitHyperlinkAbbrev"/>
          </w:rPr>
          <w:t>Gaming Machine (Club Governance) Amendment Act 2011</w:t>
        </w:r>
      </w:hyperlink>
      <w:r w:rsidR="005B33DF">
        <w:t xml:space="preserve"> A2011-24 pt 3</w:t>
      </w:r>
    </w:p>
    <w:p w:rsidR="005B33DF" w:rsidRDefault="005B33DF" w:rsidP="00575C11">
      <w:pPr>
        <w:pStyle w:val="Actdetails"/>
      </w:pPr>
      <w:r>
        <w:t>notified LR 7 July 2011</w:t>
      </w:r>
    </w:p>
    <w:p w:rsidR="005B33DF" w:rsidRDefault="005B33DF" w:rsidP="00575C11">
      <w:pPr>
        <w:pStyle w:val="Actdetails"/>
      </w:pPr>
      <w:r>
        <w:t>s 1, s 2 taken to have commenced 1 July 2011 (LA s 75 (2))</w:t>
      </w:r>
    </w:p>
    <w:p w:rsidR="005B33DF" w:rsidRPr="005B33DF" w:rsidRDefault="005B33DF" w:rsidP="00575C11">
      <w:pPr>
        <w:pStyle w:val="Actdetails"/>
      </w:pPr>
      <w:r w:rsidRPr="005B33DF">
        <w:t>pt 3 commence</w:t>
      </w:r>
      <w:r>
        <w:t>d</w:t>
      </w:r>
      <w:r w:rsidRPr="005B33DF">
        <w:t xml:space="preserve"> 1 July 2012 (s 2 (2))</w:t>
      </w:r>
    </w:p>
    <w:p w:rsidR="00A57049" w:rsidRDefault="00CF7DD8" w:rsidP="00A57049">
      <w:pPr>
        <w:pStyle w:val="NewAct"/>
      </w:pPr>
      <w:hyperlink r:id="rId107" w:tooltip="A2012-42" w:history="1">
        <w:r w:rsidR="000812EE" w:rsidRPr="000812EE">
          <w:rPr>
            <w:rStyle w:val="charCitHyperlinkAbbrev"/>
          </w:rPr>
          <w:t>Gaming Machine Amendment Act 2012</w:t>
        </w:r>
      </w:hyperlink>
      <w:r w:rsidR="00A57049">
        <w:t xml:space="preserve"> A2012-42 pt 3</w:t>
      </w:r>
    </w:p>
    <w:p w:rsidR="00A57049" w:rsidRDefault="00A57049" w:rsidP="00A57049">
      <w:pPr>
        <w:pStyle w:val="Actdetails"/>
      </w:pPr>
      <w:r>
        <w:t>notified LR 6 September 2012</w:t>
      </w:r>
    </w:p>
    <w:p w:rsidR="00A57049" w:rsidRDefault="00A57049" w:rsidP="00A57049">
      <w:pPr>
        <w:pStyle w:val="Actdetails"/>
      </w:pPr>
      <w:r>
        <w:t>s 1, s 2 commenced 6 September 2012 (LA s 75 (1))</w:t>
      </w:r>
    </w:p>
    <w:p w:rsidR="00A57049" w:rsidRPr="00A57049" w:rsidRDefault="00A57049" w:rsidP="00A57049">
      <w:pPr>
        <w:pStyle w:val="Actdetails"/>
      </w:pPr>
      <w:r w:rsidRPr="00A57049">
        <w:t>pt 3 commenced 1 January 2013 (s 2 (1))</w:t>
      </w:r>
    </w:p>
    <w:p w:rsidR="00107F19" w:rsidRDefault="00CF7DD8" w:rsidP="00107F19">
      <w:pPr>
        <w:pStyle w:val="NewAct"/>
      </w:pPr>
      <w:hyperlink r:id="rId108" w:tooltip="A2013-19" w:history="1">
        <w:r w:rsidR="00107F19">
          <w:rPr>
            <w:rStyle w:val="charCitHyperlinkAbbrev"/>
          </w:rPr>
          <w:t>Statute Law Amendment Act 2013</w:t>
        </w:r>
      </w:hyperlink>
      <w:r w:rsidR="00107F19">
        <w:t xml:space="preserve"> A2013-19 sch 3 pt 3.24</w:t>
      </w:r>
    </w:p>
    <w:p w:rsidR="00107F19" w:rsidRDefault="00107F19" w:rsidP="00107F19">
      <w:pPr>
        <w:pStyle w:val="Actdetails"/>
        <w:keepNext/>
      </w:pPr>
      <w:r>
        <w:t>notified LR 24 May 2013</w:t>
      </w:r>
    </w:p>
    <w:p w:rsidR="00107F19" w:rsidRDefault="00107F19" w:rsidP="00107F19">
      <w:pPr>
        <w:pStyle w:val="Actdetails"/>
        <w:keepNext/>
      </w:pPr>
      <w:r>
        <w:t>s 1, s 2 commenced 24 May 2013 (LA s 75 (1))</w:t>
      </w:r>
    </w:p>
    <w:p w:rsidR="00107F19" w:rsidRDefault="00107F19" w:rsidP="00107F19">
      <w:pPr>
        <w:pStyle w:val="Actdetails"/>
      </w:pPr>
      <w:r>
        <w:t>sch 3 pt 3.24</w:t>
      </w:r>
      <w:r w:rsidRPr="002D2CC3">
        <w:t xml:space="preserve"> </w:t>
      </w:r>
      <w:r w:rsidRPr="009A7FDA">
        <w:t xml:space="preserve">commenced </w:t>
      </w:r>
      <w:r>
        <w:t>14 June</w:t>
      </w:r>
      <w:r w:rsidRPr="009A7FDA">
        <w:t xml:space="preserve"> 201</w:t>
      </w:r>
      <w:r>
        <w:t>3</w:t>
      </w:r>
      <w:r w:rsidRPr="009A7FDA">
        <w:t xml:space="preserve"> (s 2)</w:t>
      </w:r>
    </w:p>
    <w:p w:rsidR="00360F49" w:rsidRDefault="00CF7DD8" w:rsidP="00360F49">
      <w:pPr>
        <w:pStyle w:val="NewAct"/>
      </w:pPr>
      <w:hyperlink r:id="rId109" w:tooltip="SL2014-17" w:history="1">
        <w:r w:rsidR="00360F49">
          <w:rPr>
            <w:rStyle w:val="charCitHyperlinkAbbrev"/>
          </w:rPr>
          <w:t>Gambling and Racing Control (Code of Practice) Amendment Regulation 2014 (No 1)</w:t>
        </w:r>
      </w:hyperlink>
      <w:r w:rsidR="00360F49">
        <w:t xml:space="preserve"> SL2014-17 s 40</w:t>
      </w:r>
    </w:p>
    <w:p w:rsidR="00360F49" w:rsidRDefault="00360F49" w:rsidP="00360F49">
      <w:pPr>
        <w:pStyle w:val="Actdetails"/>
        <w:keepNext/>
      </w:pPr>
      <w:r>
        <w:t>notified LR 28 July 2014</w:t>
      </w:r>
    </w:p>
    <w:p w:rsidR="00360F49" w:rsidRDefault="00360F49" w:rsidP="00360F49">
      <w:pPr>
        <w:pStyle w:val="Actdetails"/>
        <w:keepNext/>
      </w:pPr>
      <w:r>
        <w:t>s 1, s 2 commenced 28 July 2014 (LA s 75 (1))</w:t>
      </w:r>
    </w:p>
    <w:p w:rsidR="00360F49" w:rsidRDefault="00272EE8" w:rsidP="00360F49">
      <w:pPr>
        <w:pStyle w:val="Actdetails"/>
      </w:pPr>
      <w:r>
        <w:t>s 40</w:t>
      </w:r>
      <w:r w:rsidR="00360F49" w:rsidRPr="002D2CC3">
        <w:t xml:space="preserve"> </w:t>
      </w:r>
      <w:r w:rsidR="00360F49" w:rsidRPr="009A7FDA">
        <w:t xml:space="preserve">commenced </w:t>
      </w:r>
      <w:r w:rsidR="00360F49">
        <w:t>1 August</w:t>
      </w:r>
      <w:r w:rsidR="00360F49" w:rsidRPr="009A7FDA">
        <w:t xml:space="preserve"> 201</w:t>
      </w:r>
      <w:r w:rsidR="00360F49">
        <w:t>4</w:t>
      </w:r>
      <w:r w:rsidR="00360F49" w:rsidRPr="009A7FDA">
        <w:t xml:space="preserve"> (s 2</w:t>
      </w:r>
      <w:r w:rsidR="00360F49">
        <w:t xml:space="preserve"> and </w:t>
      </w:r>
      <w:hyperlink r:id="rId110" w:tooltip="CN2014-11" w:history="1">
        <w:r w:rsidR="00360F49">
          <w:rPr>
            <w:rStyle w:val="charCitHyperlinkAbbrev"/>
          </w:rPr>
          <w:t>CN2014-11</w:t>
        </w:r>
      </w:hyperlink>
      <w:r w:rsidR="00360F49" w:rsidRPr="009A7FDA">
        <w:t>)</w:t>
      </w:r>
    </w:p>
    <w:p w:rsidR="00277336" w:rsidRDefault="00CF7DD8" w:rsidP="00277336">
      <w:pPr>
        <w:pStyle w:val="NewAct"/>
      </w:pPr>
      <w:hyperlink r:id="rId111" w:tooltip="SL2014-22" w:history="1">
        <w:r w:rsidR="00277336">
          <w:rPr>
            <w:rStyle w:val="charCitHyperlinkAbbrev"/>
          </w:rPr>
          <w:t>Gaming Machine Amendment Regulation 2014 (No 1)</w:t>
        </w:r>
      </w:hyperlink>
      <w:r w:rsidR="00277336">
        <w:t xml:space="preserve"> SL2014-22</w:t>
      </w:r>
    </w:p>
    <w:p w:rsidR="00277336" w:rsidRDefault="00277336" w:rsidP="00277336">
      <w:pPr>
        <w:pStyle w:val="Actdetails"/>
        <w:keepNext/>
      </w:pPr>
      <w:r>
        <w:t>notified LR 8 September 2014</w:t>
      </w:r>
    </w:p>
    <w:p w:rsidR="00277336" w:rsidRDefault="00277336" w:rsidP="00277336">
      <w:pPr>
        <w:pStyle w:val="Actdetails"/>
        <w:keepNext/>
      </w:pPr>
      <w:r>
        <w:t>s 1, s 2 commenced 8 September 2014 (LA s 75 (1))</w:t>
      </w:r>
    </w:p>
    <w:p w:rsidR="00277336" w:rsidRDefault="00277336" w:rsidP="00277336">
      <w:pPr>
        <w:pStyle w:val="Actdetails"/>
      </w:pPr>
      <w:r>
        <w:t>remainder</w:t>
      </w:r>
      <w:r w:rsidRPr="002D2CC3">
        <w:t xml:space="preserve"> </w:t>
      </w:r>
      <w:r w:rsidRPr="009A7FDA">
        <w:t xml:space="preserve">commenced </w:t>
      </w:r>
      <w:r>
        <w:t>9 September</w:t>
      </w:r>
      <w:r w:rsidRPr="009A7FDA">
        <w:t xml:space="preserve"> 201</w:t>
      </w:r>
      <w:r>
        <w:t>4</w:t>
      </w:r>
      <w:r w:rsidRPr="009A7FDA">
        <w:t xml:space="preserve"> (s 2)</w:t>
      </w:r>
    </w:p>
    <w:p w:rsidR="009E7EAC" w:rsidRDefault="00CF7DD8" w:rsidP="009E7EAC">
      <w:pPr>
        <w:pStyle w:val="NewAct"/>
      </w:pPr>
      <w:hyperlink r:id="rId112" w:tooltip="SL2014-37" w:history="1">
        <w:r w:rsidR="009E7EAC">
          <w:rPr>
            <w:rStyle w:val="charCitHyperlinkAbbrev"/>
          </w:rPr>
          <w:t>Gaming Machine Amendment Regulation 2014 (No 2)</w:t>
        </w:r>
      </w:hyperlink>
      <w:r w:rsidR="009E7EAC">
        <w:t xml:space="preserve"> SL2014-37</w:t>
      </w:r>
    </w:p>
    <w:p w:rsidR="009E7EAC" w:rsidRDefault="009E7EAC" w:rsidP="009E7EAC">
      <w:pPr>
        <w:pStyle w:val="Actdetails"/>
        <w:keepNext/>
      </w:pPr>
      <w:r>
        <w:t>notified LR 22 December 2014</w:t>
      </w:r>
    </w:p>
    <w:p w:rsidR="009E7EAC" w:rsidRDefault="009E7EAC" w:rsidP="009E7EAC">
      <w:pPr>
        <w:pStyle w:val="Actdetails"/>
        <w:keepNext/>
      </w:pPr>
      <w:r>
        <w:t>s 1, s 2 commenced 22 December 2014 (LA s 75 (1))</w:t>
      </w:r>
    </w:p>
    <w:p w:rsidR="009E7EAC" w:rsidRDefault="009E7EAC" w:rsidP="009E7EAC">
      <w:pPr>
        <w:pStyle w:val="Actdetails"/>
      </w:pPr>
      <w:r>
        <w:t>remainder</w:t>
      </w:r>
      <w:r w:rsidRPr="002D2CC3">
        <w:t xml:space="preserve"> </w:t>
      </w:r>
      <w:r w:rsidRPr="009A7FDA">
        <w:t xml:space="preserve">commenced </w:t>
      </w:r>
      <w:r>
        <w:t>23 December</w:t>
      </w:r>
      <w:r w:rsidRPr="009A7FDA">
        <w:t xml:space="preserve"> 201</w:t>
      </w:r>
      <w:r>
        <w:t>4</w:t>
      </w:r>
      <w:r w:rsidRPr="009A7FDA">
        <w:t xml:space="preserve"> (s 2)</w:t>
      </w:r>
    </w:p>
    <w:p w:rsidR="008A7484" w:rsidRDefault="00CF7DD8" w:rsidP="008A7484">
      <w:pPr>
        <w:pStyle w:val="NewAct"/>
      </w:pPr>
      <w:hyperlink r:id="rId113" w:tooltip="SL2015-1" w:history="1">
        <w:r w:rsidR="008A7484">
          <w:rPr>
            <w:rStyle w:val="charCitHyperlinkAbbrev"/>
          </w:rPr>
          <w:t>Gaming Machine Amendment Regulation 2015 (No 1)</w:t>
        </w:r>
      </w:hyperlink>
      <w:r w:rsidR="008A7484">
        <w:t xml:space="preserve"> SL2015-1</w:t>
      </w:r>
    </w:p>
    <w:p w:rsidR="008A7484" w:rsidRDefault="008A7484" w:rsidP="008A7484">
      <w:pPr>
        <w:pStyle w:val="Actdetails"/>
        <w:keepNext/>
      </w:pPr>
      <w:r>
        <w:t>notified LR 1</w:t>
      </w:r>
      <w:r w:rsidR="001A0B51">
        <w:t>9</w:t>
      </w:r>
      <w:r>
        <w:t xml:space="preserve"> January 2015</w:t>
      </w:r>
    </w:p>
    <w:p w:rsidR="008A7484" w:rsidRDefault="008A7484" w:rsidP="008A7484">
      <w:pPr>
        <w:pStyle w:val="Actdetails"/>
        <w:keepNext/>
      </w:pPr>
      <w:r>
        <w:t>s 1, s 2 commenced 1</w:t>
      </w:r>
      <w:r w:rsidR="001A0B51">
        <w:t>9</w:t>
      </w:r>
      <w:r>
        <w:t xml:space="preserve"> January 2015 (LA s 75 (1))</w:t>
      </w:r>
    </w:p>
    <w:p w:rsidR="008A7484" w:rsidRDefault="008A7484" w:rsidP="008A7484">
      <w:pPr>
        <w:pStyle w:val="Actdetails"/>
      </w:pPr>
      <w:r>
        <w:t>remainder</w:t>
      </w:r>
      <w:r w:rsidRPr="002D2CC3">
        <w:t xml:space="preserve"> </w:t>
      </w:r>
      <w:r w:rsidRPr="009A7FDA">
        <w:t xml:space="preserve">commenced </w:t>
      </w:r>
      <w:r w:rsidR="001A0B51">
        <w:t>20</w:t>
      </w:r>
      <w:r>
        <w:t xml:space="preserve"> January 2015</w:t>
      </w:r>
      <w:r w:rsidRPr="009A7FDA">
        <w:t xml:space="preserve"> (s 2)</w:t>
      </w:r>
    </w:p>
    <w:p w:rsidR="00AE5BD4" w:rsidRDefault="00CF7DD8" w:rsidP="00AE5BD4">
      <w:pPr>
        <w:pStyle w:val="NewAct"/>
      </w:pPr>
      <w:hyperlink r:id="rId114" w:tooltip="SL2015-27" w:history="1">
        <w:r w:rsidR="00AE5BD4">
          <w:rPr>
            <w:rStyle w:val="charCitHyperlinkAbbrev"/>
          </w:rPr>
          <w:t>Gaming Legislation Amendment Regulation 2015 (No 1)</w:t>
        </w:r>
      </w:hyperlink>
      <w:r w:rsidR="00AE5BD4">
        <w:t xml:space="preserve"> SL2015-27 pt</w:t>
      </w:r>
      <w:r w:rsidR="000E6C40">
        <w:t> </w:t>
      </w:r>
      <w:r w:rsidR="00AE5BD4">
        <w:t>3</w:t>
      </w:r>
    </w:p>
    <w:p w:rsidR="00AE5BD4" w:rsidRDefault="00AE5BD4" w:rsidP="00AE5BD4">
      <w:pPr>
        <w:pStyle w:val="Actdetails"/>
        <w:keepNext/>
      </w:pPr>
      <w:r>
        <w:t>notified LR 24 August 2015</w:t>
      </w:r>
    </w:p>
    <w:p w:rsidR="00AE5BD4" w:rsidRDefault="00AE5BD4" w:rsidP="00AE5BD4">
      <w:pPr>
        <w:pStyle w:val="Actdetails"/>
        <w:keepNext/>
      </w:pPr>
      <w:r>
        <w:t>s 1, s 2 commenced 24 August 2015 (LA s 75 (1))</w:t>
      </w:r>
    </w:p>
    <w:p w:rsidR="00AE5BD4" w:rsidRDefault="00AE5BD4" w:rsidP="00AE5BD4">
      <w:pPr>
        <w:pStyle w:val="Actdetails"/>
      </w:pPr>
      <w:r>
        <w:t>pt 3</w:t>
      </w:r>
      <w:r w:rsidRPr="002D2CC3">
        <w:t xml:space="preserve"> </w:t>
      </w:r>
      <w:r w:rsidRPr="009A7FDA">
        <w:t xml:space="preserve">commenced </w:t>
      </w:r>
      <w:r>
        <w:t>31 August</w:t>
      </w:r>
      <w:r w:rsidRPr="009A7FDA">
        <w:t xml:space="preserve"> 201</w:t>
      </w:r>
      <w:r>
        <w:t>5</w:t>
      </w:r>
      <w:r w:rsidRPr="009A7FDA">
        <w:t xml:space="preserve"> (s 2</w:t>
      </w:r>
      <w:r>
        <w:t xml:space="preserve"> and see </w:t>
      </w:r>
      <w:hyperlink r:id="rId115" w:tooltip="A2015-21" w:history="1">
        <w:r w:rsidRPr="006C7C99">
          <w:rPr>
            <w:rStyle w:val="charCitHyperlinkAbbrev"/>
          </w:rPr>
          <w:t>Gaming Machine (Reform) Amendment Act 2015</w:t>
        </w:r>
      </w:hyperlink>
      <w:r>
        <w:t xml:space="preserve"> A2015-21, s 2 and </w:t>
      </w:r>
      <w:hyperlink r:id="rId116" w:tooltip="CN2015-18" w:history="1">
        <w:r>
          <w:rPr>
            <w:rStyle w:val="charCitHyperlinkAbbrev"/>
          </w:rPr>
          <w:t>CN2015-18</w:t>
        </w:r>
      </w:hyperlink>
      <w:r w:rsidRPr="009A7FDA">
        <w:t>)</w:t>
      </w:r>
    </w:p>
    <w:p w:rsidR="005D77AE" w:rsidRDefault="00CF7DD8" w:rsidP="005D77AE">
      <w:pPr>
        <w:pStyle w:val="NewAct"/>
      </w:pPr>
      <w:hyperlink r:id="rId117" w:tooltip="A2015-33" w:history="1">
        <w:r w:rsidR="005D77AE" w:rsidRPr="000A645B">
          <w:rPr>
            <w:rStyle w:val="charCitHyperlinkAbbrev"/>
          </w:rPr>
          <w:t>Red Tape Reduction Legislation Amendment Act 2015</w:t>
        </w:r>
      </w:hyperlink>
      <w:r w:rsidR="005D77AE">
        <w:t xml:space="preserve"> </w:t>
      </w:r>
      <w:r w:rsidR="005D77AE" w:rsidRPr="000A645B">
        <w:t xml:space="preserve">A2015-33 </w:t>
      </w:r>
      <w:r w:rsidR="00A076EF">
        <w:t>sch 1 pt 1.31</w:t>
      </w:r>
    </w:p>
    <w:p w:rsidR="005D77AE" w:rsidRDefault="005D77AE" w:rsidP="005D77AE">
      <w:pPr>
        <w:pStyle w:val="Actdetails"/>
      </w:pPr>
      <w:r>
        <w:t>notified LR 30 September 2015</w:t>
      </w:r>
    </w:p>
    <w:p w:rsidR="005D77AE" w:rsidRDefault="005D77AE" w:rsidP="005D77AE">
      <w:pPr>
        <w:pStyle w:val="Actdetails"/>
      </w:pPr>
      <w:r>
        <w:t>s 1, s 2 commenced 30 September 2015 (LA s 75 (1))</w:t>
      </w:r>
    </w:p>
    <w:p w:rsidR="005D77AE" w:rsidRDefault="005D77AE" w:rsidP="005D77AE">
      <w:pPr>
        <w:pStyle w:val="Actdetails"/>
      </w:pPr>
      <w:r>
        <w:t>sch 1 pt 1.</w:t>
      </w:r>
      <w:r w:rsidR="00A076EF">
        <w:t>31</w:t>
      </w:r>
      <w:r>
        <w:t xml:space="preserve"> commenced 14 October 2015 (s 2)</w:t>
      </w:r>
    </w:p>
    <w:p w:rsidR="00901ECB" w:rsidRDefault="00CF7DD8" w:rsidP="00901ECB">
      <w:pPr>
        <w:pStyle w:val="NewAct"/>
      </w:pPr>
      <w:hyperlink r:id="rId118" w:tooltip="SL2015-40" w:history="1">
        <w:r w:rsidR="00901ECB">
          <w:rPr>
            <w:rStyle w:val="charCitHyperlinkAbbrev"/>
          </w:rPr>
          <w:t>Gaming Machine Amendment Regulation 2015 (No 2)</w:t>
        </w:r>
      </w:hyperlink>
      <w:r w:rsidR="003A1E95">
        <w:t xml:space="preserve"> SL2015-40</w:t>
      </w:r>
    </w:p>
    <w:p w:rsidR="00901ECB" w:rsidRDefault="00901ECB" w:rsidP="00901ECB">
      <w:pPr>
        <w:pStyle w:val="Actdetails"/>
        <w:keepNext/>
      </w:pPr>
      <w:r>
        <w:t>notified LR 30 November 2015</w:t>
      </w:r>
    </w:p>
    <w:p w:rsidR="00901ECB" w:rsidRDefault="00901ECB" w:rsidP="00901ECB">
      <w:pPr>
        <w:pStyle w:val="Actdetails"/>
        <w:keepNext/>
      </w:pPr>
      <w:r>
        <w:t>s 1, s 2 commenced 30 November 2015 (LA s 75 (1))</w:t>
      </w:r>
    </w:p>
    <w:p w:rsidR="00901ECB" w:rsidRDefault="00901ECB" w:rsidP="00901ECB">
      <w:pPr>
        <w:pStyle w:val="Actdetails"/>
      </w:pPr>
      <w:r>
        <w:t>remainder</w:t>
      </w:r>
      <w:r w:rsidRPr="002D2CC3">
        <w:t xml:space="preserve"> </w:t>
      </w:r>
      <w:r w:rsidRPr="009A7FDA">
        <w:t xml:space="preserve">commenced </w:t>
      </w:r>
      <w:r>
        <w:t>1 December 2015</w:t>
      </w:r>
      <w:r w:rsidRPr="009A7FDA">
        <w:t xml:space="preserve"> (s 2)</w:t>
      </w:r>
    </w:p>
    <w:p w:rsidR="007161E4" w:rsidRDefault="00CF7DD8" w:rsidP="007161E4">
      <w:pPr>
        <w:pStyle w:val="NewAct"/>
      </w:pPr>
      <w:hyperlink r:id="rId119" w:tooltip="SL2016-11" w:history="1">
        <w:r w:rsidR="007161E4">
          <w:rPr>
            <w:rStyle w:val="charCitHyperlinkAbbrev"/>
          </w:rPr>
          <w:t>Gaming Machine (Ballots) Amendment Regulation 2016 (No 1)</w:t>
        </w:r>
      </w:hyperlink>
      <w:r w:rsidR="007161E4">
        <w:t xml:space="preserve"> SL2016-</w:t>
      </w:r>
      <w:r w:rsidR="00F02D78">
        <w:t>11</w:t>
      </w:r>
    </w:p>
    <w:p w:rsidR="007161E4" w:rsidRPr="00F02D78" w:rsidRDefault="007161E4" w:rsidP="007161E4">
      <w:pPr>
        <w:pStyle w:val="Actdetails"/>
        <w:keepNext/>
      </w:pPr>
      <w:r>
        <w:t>notified LR</w:t>
      </w:r>
      <w:r w:rsidR="00F02D78">
        <w:t xml:space="preserve"> 1</w:t>
      </w:r>
      <w:r w:rsidR="00F02D78" w:rsidRPr="00F02D78">
        <w:t>2</w:t>
      </w:r>
      <w:r w:rsidRPr="00F02D78">
        <w:t xml:space="preserve"> </w:t>
      </w:r>
      <w:r w:rsidR="00AE15F6" w:rsidRPr="00F02D78">
        <w:t>May 2016</w:t>
      </w:r>
    </w:p>
    <w:p w:rsidR="007161E4" w:rsidRDefault="007161E4" w:rsidP="007161E4">
      <w:pPr>
        <w:pStyle w:val="Actdetails"/>
        <w:keepNext/>
      </w:pPr>
      <w:r w:rsidRPr="00F02D78">
        <w:t>s 1, s 2 commenced</w:t>
      </w:r>
      <w:r w:rsidR="00F02D78" w:rsidRPr="00F02D78">
        <w:t xml:space="preserve"> 12</w:t>
      </w:r>
      <w:r w:rsidRPr="00F02D78">
        <w:t xml:space="preserve"> </w:t>
      </w:r>
      <w:r w:rsidR="00AE15F6" w:rsidRPr="00F02D78">
        <w:t>May 2016</w:t>
      </w:r>
      <w:r>
        <w:t xml:space="preserve"> (LA s 75 (1))</w:t>
      </w:r>
    </w:p>
    <w:p w:rsidR="007161E4" w:rsidRDefault="007161E4" w:rsidP="007161E4">
      <w:pPr>
        <w:pStyle w:val="Actdetails"/>
      </w:pPr>
      <w:r>
        <w:t>remainder</w:t>
      </w:r>
      <w:r w:rsidRPr="002D2CC3">
        <w:t xml:space="preserve"> </w:t>
      </w:r>
      <w:r w:rsidRPr="009A7FDA">
        <w:t xml:space="preserve">commenced </w:t>
      </w:r>
      <w:r w:rsidR="00AE15F6">
        <w:t>16 May 2016</w:t>
      </w:r>
      <w:r w:rsidRPr="009A7FDA">
        <w:t xml:space="preserve"> (s 2)</w:t>
      </w:r>
    </w:p>
    <w:p w:rsidR="00A53A62" w:rsidRDefault="00CF7DD8" w:rsidP="00A53A62">
      <w:pPr>
        <w:pStyle w:val="NewAct"/>
      </w:pPr>
      <w:hyperlink r:id="rId120" w:tooltip="A2016-45" w:history="1">
        <w:r w:rsidR="00A53A62">
          <w:rPr>
            <w:rStyle w:val="charCitHyperlinkAbbrev"/>
          </w:rPr>
          <w:t>Gaming and Racing (Red Tape Reduction) Legislation Amendment Act 2016</w:t>
        </w:r>
      </w:hyperlink>
      <w:r w:rsidR="00A53A62">
        <w:t xml:space="preserve"> A2016-45 pt 3</w:t>
      </w:r>
    </w:p>
    <w:p w:rsidR="00A53A62" w:rsidRDefault="00A53A62" w:rsidP="00A53A62">
      <w:pPr>
        <w:pStyle w:val="Actdetails"/>
      </w:pPr>
      <w:r>
        <w:t>notified LR 19 August 2016</w:t>
      </w:r>
    </w:p>
    <w:p w:rsidR="00A53A62" w:rsidRDefault="00A53A62" w:rsidP="00A53A62">
      <w:pPr>
        <w:pStyle w:val="Actdetails"/>
      </w:pPr>
      <w:r>
        <w:t>s 1, s 2 commenced 19 August 2016 (LA s 75 (1))</w:t>
      </w:r>
    </w:p>
    <w:p w:rsidR="00A53A62" w:rsidRPr="005B0215" w:rsidRDefault="00A53A62" w:rsidP="00A53A62">
      <w:pPr>
        <w:pStyle w:val="Actdetails"/>
      </w:pPr>
      <w:r>
        <w:t>pt 3 commenced 1 September 2016 (s 2 (1))</w:t>
      </w:r>
    </w:p>
    <w:p w:rsidR="001D2FC7" w:rsidRDefault="00CF7DD8" w:rsidP="001D2FC7">
      <w:pPr>
        <w:pStyle w:val="NewAct"/>
      </w:pPr>
      <w:hyperlink r:id="rId121" w:tooltip="A2017-25" w:history="1">
        <w:r w:rsidR="001D2FC7">
          <w:rPr>
            <w:rStyle w:val="charCitHyperlinkAbbrev"/>
          </w:rPr>
          <w:t>Gaming Machine (Cash Facilities) Amendment Act 2017</w:t>
        </w:r>
      </w:hyperlink>
      <w:r w:rsidR="001D2FC7">
        <w:t xml:space="preserve"> A2017-25 pt 3</w:t>
      </w:r>
    </w:p>
    <w:p w:rsidR="001D2FC7" w:rsidRDefault="001D2FC7" w:rsidP="001D2FC7">
      <w:pPr>
        <w:pStyle w:val="Actdetails"/>
      </w:pPr>
      <w:r>
        <w:t>notified LR 31 August 2017</w:t>
      </w:r>
    </w:p>
    <w:p w:rsidR="001D2FC7" w:rsidRDefault="001D2FC7" w:rsidP="001D2FC7">
      <w:pPr>
        <w:pStyle w:val="Actdetails"/>
      </w:pPr>
      <w:r>
        <w:t>s 1, s 2 commenced 31 August 2017 (LA s 75 (1))</w:t>
      </w:r>
    </w:p>
    <w:p w:rsidR="001D2FC7" w:rsidRDefault="001D2FC7" w:rsidP="001D2FC7">
      <w:pPr>
        <w:pStyle w:val="Actdetails"/>
      </w:pPr>
      <w:r>
        <w:t>pt 3 commenced 1 September 2017 (s 2)</w:t>
      </w:r>
    </w:p>
    <w:p w:rsidR="003A58B5" w:rsidRPr="00935D4E" w:rsidRDefault="00CF7DD8" w:rsidP="003A58B5">
      <w:pPr>
        <w:pStyle w:val="NewAct"/>
      </w:pPr>
      <w:hyperlink r:id="rId122" w:tooltip="A2018-45" w:history="1">
        <w:r w:rsidR="003A58B5">
          <w:rPr>
            <w:rStyle w:val="charCitHyperlinkAbbrev"/>
          </w:rPr>
          <w:t>Gaming Legislation Amendment Act 2018</w:t>
        </w:r>
      </w:hyperlink>
      <w:r w:rsidR="003A58B5">
        <w:t xml:space="preserve"> A2018-45 pt 4</w:t>
      </w:r>
    </w:p>
    <w:p w:rsidR="003A58B5" w:rsidRDefault="003A58B5" w:rsidP="003A58B5">
      <w:pPr>
        <w:pStyle w:val="Actdetails"/>
      </w:pPr>
      <w:r>
        <w:t>notified LR 4 December 2018</w:t>
      </w:r>
    </w:p>
    <w:p w:rsidR="003A58B5" w:rsidRDefault="003A58B5" w:rsidP="003A58B5">
      <w:pPr>
        <w:pStyle w:val="Actdetails"/>
      </w:pPr>
      <w:r>
        <w:t>pt 1 taken to have commenced 15 June 2015 (s 2 (1))</w:t>
      </w:r>
    </w:p>
    <w:p w:rsidR="003A58B5" w:rsidRDefault="003A58B5" w:rsidP="003A58B5">
      <w:pPr>
        <w:pStyle w:val="Actdetails"/>
      </w:pPr>
      <w:r>
        <w:t>pt 4 commenced</w:t>
      </w:r>
      <w:r w:rsidRPr="006F3A6F">
        <w:t xml:space="preserve"> </w:t>
      </w:r>
      <w:r>
        <w:t>11 December 2018 (s 2 (6))</w:t>
      </w:r>
    </w:p>
    <w:p w:rsidR="005B33DF" w:rsidRPr="005B33DF" w:rsidRDefault="005B33DF" w:rsidP="005B33DF">
      <w:pPr>
        <w:pStyle w:val="PageBreak"/>
      </w:pPr>
      <w:r w:rsidRPr="005B33DF">
        <w:br w:type="page"/>
      </w:r>
    </w:p>
    <w:p w:rsidR="009720B3" w:rsidRPr="00B043CD" w:rsidRDefault="009720B3">
      <w:pPr>
        <w:pStyle w:val="Endnote20"/>
      </w:pPr>
      <w:bookmarkStart w:id="109" w:name="_Toc532221287"/>
      <w:r w:rsidRPr="00B043CD">
        <w:rPr>
          <w:rStyle w:val="charTableNo"/>
        </w:rPr>
        <w:lastRenderedPageBreak/>
        <w:t>4</w:t>
      </w:r>
      <w:r>
        <w:tab/>
      </w:r>
      <w:r w:rsidRPr="00B043CD">
        <w:rPr>
          <w:rStyle w:val="charTableText"/>
        </w:rPr>
        <w:t>Amendment history</w:t>
      </w:r>
      <w:bookmarkEnd w:id="109"/>
    </w:p>
    <w:p w:rsidR="009720B3" w:rsidRDefault="009720B3">
      <w:pPr>
        <w:pStyle w:val="AmdtsEntryHd"/>
      </w:pPr>
      <w:r>
        <w:t>Name of regulation</w:t>
      </w:r>
    </w:p>
    <w:p w:rsidR="009720B3" w:rsidRDefault="009720B3">
      <w:pPr>
        <w:pStyle w:val="AmdtsEntries"/>
      </w:pPr>
      <w:r>
        <w:t>s 1</w:t>
      </w:r>
      <w:r>
        <w:tab/>
        <w:t>am R1 LA</w:t>
      </w:r>
    </w:p>
    <w:p w:rsidR="009720B3" w:rsidRDefault="009720B3">
      <w:pPr>
        <w:pStyle w:val="AmdtsEntryHd"/>
      </w:pPr>
      <w:r>
        <w:t>Commencement</w:t>
      </w:r>
    </w:p>
    <w:p w:rsidR="009720B3" w:rsidRDefault="009720B3">
      <w:pPr>
        <w:pStyle w:val="AmdtsEntries"/>
      </w:pPr>
      <w:r>
        <w:t>s 2</w:t>
      </w:r>
      <w:r>
        <w:tab/>
        <w:t>om LA s 89 (4)</w:t>
      </w:r>
    </w:p>
    <w:p w:rsidR="00E66245" w:rsidRDefault="00E66245">
      <w:pPr>
        <w:pStyle w:val="AmdtsEntryHd"/>
      </w:pPr>
      <w:r>
        <w:t>Dictionary</w:t>
      </w:r>
    </w:p>
    <w:p w:rsidR="00E66245" w:rsidRPr="00E66245" w:rsidRDefault="00E66245" w:rsidP="00E66245">
      <w:pPr>
        <w:pStyle w:val="AmdtsEntries"/>
      </w:pPr>
      <w:r>
        <w:t>s 3</w:t>
      </w:r>
      <w:r>
        <w:tab/>
        <w:t xml:space="preserve">am </w:t>
      </w:r>
      <w:hyperlink r:id="rId123" w:tooltip="Gaming Legislation Amendment Regulation 2015 (No 1)" w:history="1">
        <w:r>
          <w:rPr>
            <w:rStyle w:val="charCitHyperlinkAbbrev"/>
          </w:rPr>
          <w:t>SL2015</w:t>
        </w:r>
        <w:r>
          <w:rPr>
            <w:rStyle w:val="charCitHyperlinkAbbrev"/>
          </w:rPr>
          <w:noBreakHyphen/>
          <w:t>27</w:t>
        </w:r>
      </w:hyperlink>
      <w:r>
        <w:t xml:space="preserve"> s 5</w:t>
      </w:r>
    </w:p>
    <w:p w:rsidR="00E66245" w:rsidRDefault="00E66245">
      <w:pPr>
        <w:pStyle w:val="AmdtsEntryHd"/>
      </w:pPr>
      <w:r w:rsidRPr="00AE589E">
        <w:t>Licences and authorisations</w:t>
      </w:r>
    </w:p>
    <w:p w:rsidR="00E66245" w:rsidRPr="00E66245" w:rsidRDefault="00E66245" w:rsidP="00E66245">
      <w:pPr>
        <w:pStyle w:val="AmdtsEntries"/>
      </w:pPr>
      <w:r>
        <w:t>pt 2 hdg</w:t>
      </w:r>
      <w:r>
        <w:tab/>
        <w:t xml:space="preserve">sub </w:t>
      </w:r>
      <w:hyperlink r:id="rId124" w:tooltip="Gaming Legislation Amendment Regulation 2015 (No 1)" w:history="1">
        <w:r>
          <w:rPr>
            <w:rStyle w:val="charCitHyperlinkAbbrev"/>
          </w:rPr>
          <w:t>SL2015</w:t>
        </w:r>
        <w:r>
          <w:rPr>
            <w:rStyle w:val="charCitHyperlinkAbbrev"/>
          </w:rPr>
          <w:noBreakHyphen/>
          <w:t>27</w:t>
        </w:r>
      </w:hyperlink>
      <w:r>
        <w:t xml:space="preserve"> s 6</w:t>
      </w:r>
    </w:p>
    <w:p w:rsidR="001F7043" w:rsidRDefault="00E66245">
      <w:pPr>
        <w:pStyle w:val="AmdtsEntryHd"/>
      </w:pPr>
      <w:r w:rsidRPr="00AE589E">
        <w:t>Required documents for applications or notifications—Act, s 16 (i), s 22 (2) (e), s 28 (2) (h), s 38H (3) (b) and s 173D (2) (c)</w:t>
      </w:r>
    </w:p>
    <w:p w:rsidR="001F7043" w:rsidRDefault="001F7043" w:rsidP="001F7043">
      <w:pPr>
        <w:pStyle w:val="AmdtsEntries"/>
      </w:pPr>
      <w:r>
        <w:t>s 6 hdg</w:t>
      </w:r>
      <w:r>
        <w:tab/>
        <w:t xml:space="preserve">sub </w:t>
      </w:r>
      <w:hyperlink r:id="rId125"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37</w:t>
      </w:r>
    </w:p>
    <w:p w:rsidR="001F7043" w:rsidRDefault="001F7043" w:rsidP="001F7043">
      <w:pPr>
        <w:pStyle w:val="AmdtsEntries"/>
      </w:pPr>
      <w:r>
        <w:t>s 6</w:t>
      </w:r>
      <w:r>
        <w:tab/>
        <w:t xml:space="preserve">am </w:t>
      </w:r>
      <w:hyperlink r:id="rId126"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38, s 39</w:t>
      </w:r>
      <w:r w:rsidR="007818E9">
        <w:t>; pars renum R5 LA</w:t>
      </w:r>
      <w:r w:rsidR="005D1D93">
        <w:t xml:space="preserve">; </w:t>
      </w:r>
      <w:hyperlink r:id="rId127" w:tooltip="Gaming Machine Amendment Regulation 2014 (No 1)" w:history="1">
        <w:r w:rsidR="005D1D93">
          <w:rPr>
            <w:rStyle w:val="charCitHyperlinkAbbrev"/>
          </w:rPr>
          <w:t>SL2014</w:t>
        </w:r>
        <w:r w:rsidR="005D1D93">
          <w:rPr>
            <w:rStyle w:val="charCitHyperlinkAbbrev"/>
          </w:rPr>
          <w:noBreakHyphen/>
          <w:t>22</w:t>
        </w:r>
      </w:hyperlink>
      <w:r w:rsidR="005D1D93">
        <w:t xml:space="preserve"> s 4, s 5</w:t>
      </w:r>
    </w:p>
    <w:p w:rsidR="00E66245" w:rsidRPr="001F7043" w:rsidRDefault="00E66245" w:rsidP="001F7043">
      <w:pPr>
        <w:pStyle w:val="AmdtsEntries"/>
      </w:pPr>
      <w:r>
        <w:tab/>
        <w:t xml:space="preserve">sub </w:t>
      </w:r>
      <w:hyperlink r:id="rId128" w:tooltip="Gaming Legislation Amendment Regulation 2015 (No 1)" w:history="1">
        <w:r>
          <w:rPr>
            <w:rStyle w:val="charCitHyperlinkAbbrev"/>
          </w:rPr>
          <w:t>SL2015</w:t>
        </w:r>
        <w:r>
          <w:rPr>
            <w:rStyle w:val="charCitHyperlinkAbbrev"/>
          </w:rPr>
          <w:noBreakHyphen/>
          <w:t>27</w:t>
        </w:r>
      </w:hyperlink>
      <w:r>
        <w:t xml:space="preserve"> s 7</w:t>
      </w:r>
    </w:p>
    <w:p w:rsidR="000B6445" w:rsidRDefault="00E66245">
      <w:pPr>
        <w:pStyle w:val="AmdtsEntryHd"/>
      </w:pPr>
      <w:r w:rsidRPr="00AE589E">
        <w:t>Working out club members—Act, s 23 (5) (c) and s 37 (5) (a)</w:t>
      </w:r>
    </w:p>
    <w:p w:rsidR="000B6445" w:rsidRDefault="000B6445" w:rsidP="000B6445">
      <w:pPr>
        <w:pStyle w:val="AmdtsEntries"/>
      </w:pPr>
      <w:r>
        <w:t>s 7 hdg</w:t>
      </w:r>
      <w:r>
        <w:tab/>
        <w:t xml:space="preserve">sub </w:t>
      </w:r>
      <w:hyperlink r:id="rId12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40</w:t>
      </w:r>
      <w:r w:rsidR="00E66245">
        <w:t xml:space="preserve">; sub </w:t>
      </w:r>
      <w:hyperlink r:id="rId130" w:tooltip="Gaming Legislation Amendment Regulation 2015 (No 1)" w:history="1">
        <w:r w:rsidR="00E66245">
          <w:rPr>
            <w:rStyle w:val="charCitHyperlinkAbbrev"/>
          </w:rPr>
          <w:t>SL2015</w:t>
        </w:r>
        <w:r w:rsidR="00E66245">
          <w:rPr>
            <w:rStyle w:val="charCitHyperlinkAbbrev"/>
          </w:rPr>
          <w:noBreakHyphen/>
          <w:t>27</w:t>
        </w:r>
      </w:hyperlink>
      <w:r w:rsidR="00E66245">
        <w:t xml:space="preserve"> s 8</w:t>
      </w:r>
    </w:p>
    <w:p w:rsidR="000B6445" w:rsidRPr="000B6445" w:rsidRDefault="000B6445" w:rsidP="000B6445">
      <w:pPr>
        <w:pStyle w:val="AmdtsEntries"/>
      </w:pPr>
      <w:r>
        <w:t>s 7</w:t>
      </w:r>
      <w:r>
        <w:tab/>
        <w:t xml:space="preserve">am </w:t>
      </w:r>
      <w:hyperlink r:id="rId131"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ss 41-42</w:t>
      </w:r>
      <w:r w:rsidR="00107F19">
        <w:t xml:space="preserve">; </w:t>
      </w:r>
      <w:hyperlink r:id="rId132" w:tooltip="Statute Law Amendment Act 2013" w:history="1">
        <w:r w:rsidR="00107F19">
          <w:rPr>
            <w:rStyle w:val="charCitHyperlinkAbbrev"/>
          </w:rPr>
          <w:t>A2013</w:t>
        </w:r>
        <w:r w:rsidR="00107F19">
          <w:rPr>
            <w:rStyle w:val="charCitHyperlinkAbbrev"/>
          </w:rPr>
          <w:noBreakHyphen/>
          <w:t>19</w:t>
        </w:r>
      </w:hyperlink>
      <w:r w:rsidR="00107F19">
        <w:t xml:space="preserve"> amdt 3.193, amdt 3.194</w:t>
      </w:r>
      <w:r w:rsidR="00E66245">
        <w:t xml:space="preserve">; </w:t>
      </w:r>
      <w:hyperlink r:id="rId133" w:tooltip="Gaming Legislation Amendment Regulation 2015 (No 1)" w:history="1">
        <w:r w:rsidR="00E66245">
          <w:rPr>
            <w:rStyle w:val="charCitHyperlinkAbbrev"/>
          </w:rPr>
          <w:t>SL2015</w:t>
        </w:r>
        <w:r w:rsidR="00E66245">
          <w:rPr>
            <w:rStyle w:val="charCitHyperlinkAbbrev"/>
          </w:rPr>
          <w:noBreakHyphen/>
          <w:t>27</w:t>
        </w:r>
      </w:hyperlink>
      <w:r w:rsidR="00E66245">
        <w:t xml:space="preserve"> ss 9-11</w:t>
      </w:r>
      <w:r w:rsidR="007144AF">
        <w:t xml:space="preserve">; </w:t>
      </w:r>
      <w:hyperlink r:id="rId134" w:tooltip="Gaming and Racing (Red Tape Reduction) Legislation Amendment Act 2016" w:history="1">
        <w:r w:rsidR="007144AF">
          <w:rPr>
            <w:rStyle w:val="charCitHyperlinkAbbrev"/>
          </w:rPr>
          <w:t>A2016</w:t>
        </w:r>
        <w:r w:rsidR="007144AF">
          <w:rPr>
            <w:rStyle w:val="charCitHyperlinkAbbrev"/>
          </w:rPr>
          <w:noBreakHyphen/>
          <w:t>45</w:t>
        </w:r>
      </w:hyperlink>
      <w:r w:rsidR="007144AF">
        <w:t xml:space="preserve"> s 30</w:t>
      </w:r>
    </w:p>
    <w:p w:rsidR="005D1D93" w:rsidRDefault="00E66245">
      <w:pPr>
        <w:pStyle w:val="AmdtsEntryHd"/>
      </w:pPr>
      <w:r w:rsidRPr="00AE589E">
        <w:t>Other requirements for form of authorisation schedule for class C gaming machines—Act, s 27 (2)</w:t>
      </w:r>
    </w:p>
    <w:p w:rsidR="005D1D93" w:rsidRDefault="005D1D93" w:rsidP="005D1D93">
      <w:pPr>
        <w:pStyle w:val="AmdtsEntries"/>
      </w:pPr>
      <w:r>
        <w:t>s 8</w:t>
      </w:r>
      <w:r>
        <w:tab/>
        <w:t xml:space="preserve">am </w:t>
      </w:r>
      <w:hyperlink r:id="rId135" w:tooltip="Gaming Machine Amendment Regulation 2014 (No 1)" w:history="1">
        <w:r>
          <w:rPr>
            <w:rStyle w:val="charCitHyperlinkAbbrev"/>
          </w:rPr>
          <w:t>SL2014</w:t>
        </w:r>
        <w:r>
          <w:rPr>
            <w:rStyle w:val="charCitHyperlinkAbbrev"/>
          </w:rPr>
          <w:noBreakHyphen/>
          <w:t>22</w:t>
        </w:r>
      </w:hyperlink>
      <w:r>
        <w:t xml:space="preserve"> s 6</w:t>
      </w:r>
    </w:p>
    <w:p w:rsidR="00E66245" w:rsidRPr="005D1D93" w:rsidRDefault="00E66245" w:rsidP="005D1D93">
      <w:pPr>
        <w:pStyle w:val="AmdtsEntries"/>
      </w:pPr>
      <w:r>
        <w:tab/>
        <w:t xml:space="preserve">sub </w:t>
      </w:r>
      <w:hyperlink r:id="rId136" w:tooltip="Gaming Legislation Amendment Regulation 2015 (No 1)" w:history="1">
        <w:r>
          <w:rPr>
            <w:rStyle w:val="charCitHyperlinkAbbrev"/>
          </w:rPr>
          <w:t>SL2015</w:t>
        </w:r>
        <w:r>
          <w:rPr>
            <w:rStyle w:val="charCitHyperlinkAbbrev"/>
          </w:rPr>
          <w:noBreakHyphen/>
          <w:t>27</w:t>
        </w:r>
      </w:hyperlink>
      <w:r>
        <w:t xml:space="preserve"> s 12</w:t>
      </w:r>
    </w:p>
    <w:p w:rsidR="000B6445" w:rsidRDefault="000B6445">
      <w:pPr>
        <w:pStyle w:val="AmdtsEntryHd"/>
      </w:pPr>
      <w:r>
        <w:t>Definitions—pt 3</w:t>
      </w:r>
    </w:p>
    <w:p w:rsidR="000B6445" w:rsidRPr="000B6445" w:rsidRDefault="000B6445" w:rsidP="000B6445">
      <w:pPr>
        <w:pStyle w:val="AmdtsEntries"/>
      </w:pPr>
      <w:r>
        <w:t>s 9</w:t>
      </w:r>
      <w:r>
        <w:tab/>
        <w:t xml:space="preserve">def </w:t>
      </w:r>
      <w:r>
        <w:rPr>
          <w:rStyle w:val="charBoldItals"/>
        </w:rPr>
        <w:t xml:space="preserve">local community </w:t>
      </w:r>
      <w:r>
        <w:t xml:space="preserve">am </w:t>
      </w:r>
      <w:hyperlink r:id="rId137"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44</w:t>
      </w:r>
    </w:p>
    <w:p w:rsidR="007018C2" w:rsidRDefault="007018C2" w:rsidP="000B6445">
      <w:pPr>
        <w:pStyle w:val="AmdtsEntries"/>
      </w:pPr>
      <w:r>
        <w:tab/>
        <w:t xml:space="preserve">def </w:t>
      </w:r>
      <w:r w:rsidRPr="007018C2">
        <w:rPr>
          <w:rStyle w:val="charBoldItals"/>
        </w:rPr>
        <w:t>relevant gaming machine application</w:t>
      </w:r>
      <w:r>
        <w:t xml:space="preserve"> ins </w:t>
      </w:r>
      <w:hyperlink r:id="rId138" w:tooltip="Gaming Legislation Amendment Regulation 2015 (No 1)" w:history="1">
        <w:r>
          <w:rPr>
            <w:rStyle w:val="charCitHyperlinkAbbrev"/>
          </w:rPr>
          <w:t>SL2015</w:t>
        </w:r>
        <w:r>
          <w:rPr>
            <w:rStyle w:val="charCitHyperlinkAbbrev"/>
          </w:rPr>
          <w:noBreakHyphen/>
          <w:t>27</w:t>
        </w:r>
      </w:hyperlink>
      <w:r>
        <w:t xml:space="preserve"> s 13</w:t>
      </w:r>
    </w:p>
    <w:p w:rsidR="000B6445" w:rsidRPr="000B6445" w:rsidRDefault="000B6445" w:rsidP="000B6445">
      <w:pPr>
        <w:pStyle w:val="AmdtsEntries"/>
      </w:pPr>
      <w:r>
        <w:tab/>
        <w:t xml:space="preserve">def </w:t>
      </w:r>
      <w:r>
        <w:rPr>
          <w:rStyle w:val="charBoldItals"/>
        </w:rPr>
        <w:t xml:space="preserve">relevant premises </w:t>
      </w:r>
      <w:r>
        <w:t xml:space="preserve">sub </w:t>
      </w:r>
      <w:hyperlink r:id="rId13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45</w:t>
      </w:r>
      <w:r w:rsidR="007018C2">
        <w:t xml:space="preserve">; </w:t>
      </w:r>
      <w:hyperlink r:id="rId140"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14</w:t>
      </w:r>
    </w:p>
    <w:p w:rsidR="000B6445" w:rsidRDefault="007018C2">
      <w:pPr>
        <w:pStyle w:val="AmdtsEntryHd"/>
      </w:pPr>
      <w:r w:rsidRPr="00AE589E">
        <w:t>Requirements for social impact assessment—Act, s 12 (2) (a)</w:t>
      </w:r>
    </w:p>
    <w:p w:rsidR="007018C2" w:rsidRDefault="007018C2" w:rsidP="000B6445">
      <w:pPr>
        <w:pStyle w:val="AmdtsEntries"/>
      </w:pPr>
      <w:r>
        <w:t>s 10 hdg</w:t>
      </w:r>
      <w:r>
        <w:tab/>
        <w:t xml:space="preserve">sub </w:t>
      </w:r>
      <w:hyperlink r:id="rId141" w:tooltip="Gaming Legislation Amendment Regulation 2015 (No 1)" w:history="1">
        <w:r>
          <w:rPr>
            <w:rStyle w:val="charCitHyperlinkAbbrev"/>
          </w:rPr>
          <w:t>SL2015</w:t>
        </w:r>
        <w:r>
          <w:rPr>
            <w:rStyle w:val="charCitHyperlinkAbbrev"/>
          </w:rPr>
          <w:noBreakHyphen/>
          <w:t>27</w:t>
        </w:r>
      </w:hyperlink>
      <w:r>
        <w:t xml:space="preserve"> s 15</w:t>
      </w:r>
    </w:p>
    <w:p w:rsidR="000B6445" w:rsidRPr="000B6445" w:rsidRDefault="000B6445" w:rsidP="000B6445">
      <w:pPr>
        <w:pStyle w:val="AmdtsEntries"/>
      </w:pPr>
      <w:r>
        <w:t>s 10</w:t>
      </w:r>
      <w:r>
        <w:tab/>
        <w:t xml:space="preserve">am </w:t>
      </w:r>
      <w:hyperlink r:id="rId142"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w:t>
      </w:r>
      <w:r w:rsidR="00062DF6">
        <w:t xml:space="preserve">s 46, </w:t>
      </w:r>
      <w:r>
        <w:t>s 47</w:t>
      </w:r>
      <w:r w:rsidR="007018C2">
        <w:t xml:space="preserve">; </w:t>
      </w:r>
      <w:hyperlink r:id="rId143"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16, s 17</w:t>
      </w:r>
    </w:p>
    <w:p w:rsidR="00E819CD" w:rsidRDefault="007018C2" w:rsidP="00E819CD">
      <w:pPr>
        <w:pStyle w:val="AmdtsEntryHd"/>
      </w:pPr>
      <w:r w:rsidRPr="00AE589E">
        <w:t>Matters to be addressed by social impact assessment—Act, s 12 (2) (b)</w:t>
      </w:r>
    </w:p>
    <w:p w:rsidR="007018C2" w:rsidRDefault="007018C2" w:rsidP="007018C2">
      <w:pPr>
        <w:pStyle w:val="AmdtsEntries"/>
      </w:pPr>
      <w:r>
        <w:t>s 11 hdg</w:t>
      </w:r>
      <w:r>
        <w:tab/>
        <w:t xml:space="preserve">sub </w:t>
      </w:r>
      <w:hyperlink r:id="rId144" w:tooltip="Gaming Legislation Amendment Regulation 2015 (No 1)" w:history="1">
        <w:r>
          <w:rPr>
            <w:rStyle w:val="charCitHyperlinkAbbrev"/>
          </w:rPr>
          <w:t>SL2015</w:t>
        </w:r>
        <w:r>
          <w:rPr>
            <w:rStyle w:val="charCitHyperlinkAbbrev"/>
          </w:rPr>
          <w:noBreakHyphen/>
          <w:t>27</w:t>
        </w:r>
      </w:hyperlink>
      <w:r>
        <w:t xml:space="preserve"> s 18</w:t>
      </w:r>
    </w:p>
    <w:p w:rsidR="007018C2" w:rsidRDefault="00E819CD" w:rsidP="007018C2">
      <w:pPr>
        <w:pStyle w:val="AmdtsEntries"/>
      </w:pPr>
      <w:r>
        <w:t>s 11</w:t>
      </w:r>
      <w:r>
        <w:tab/>
        <w:t xml:space="preserve">am </w:t>
      </w:r>
      <w:hyperlink r:id="rId145"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48, s 49</w:t>
      </w:r>
      <w:r w:rsidR="007018C2">
        <w:t xml:space="preserve">; </w:t>
      </w:r>
      <w:hyperlink r:id="rId146"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19</w:t>
      </w:r>
    </w:p>
    <w:p w:rsidR="00E819CD" w:rsidRDefault="007018C2" w:rsidP="00E819CD">
      <w:pPr>
        <w:pStyle w:val="AmdtsEntryHd"/>
      </w:pPr>
      <w:r w:rsidRPr="00AE589E">
        <w:t>Information to be given in social impact assessment—Act, s 12 (2) (c)</w:t>
      </w:r>
    </w:p>
    <w:p w:rsidR="007018C2" w:rsidRDefault="007018C2" w:rsidP="007018C2">
      <w:pPr>
        <w:pStyle w:val="AmdtsEntries"/>
      </w:pPr>
      <w:r>
        <w:t>s 12 hdg</w:t>
      </w:r>
      <w:r>
        <w:tab/>
        <w:t xml:space="preserve">sub </w:t>
      </w:r>
      <w:hyperlink r:id="rId147" w:tooltip="Gaming Legislation Amendment Regulation 2015 (No 1)" w:history="1">
        <w:r>
          <w:rPr>
            <w:rStyle w:val="charCitHyperlinkAbbrev"/>
          </w:rPr>
          <w:t>SL2015</w:t>
        </w:r>
        <w:r>
          <w:rPr>
            <w:rStyle w:val="charCitHyperlinkAbbrev"/>
          </w:rPr>
          <w:noBreakHyphen/>
          <w:t>27</w:t>
        </w:r>
      </w:hyperlink>
      <w:r w:rsidR="00970F35">
        <w:t xml:space="preserve"> s 20</w:t>
      </w:r>
    </w:p>
    <w:p w:rsidR="007018C2" w:rsidRDefault="00E819CD" w:rsidP="007018C2">
      <w:pPr>
        <w:pStyle w:val="AmdtsEntries"/>
      </w:pPr>
      <w:r>
        <w:t>s 12</w:t>
      </w:r>
      <w:r>
        <w:tab/>
        <w:t xml:space="preserve">am </w:t>
      </w:r>
      <w:hyperlink r:id="rId14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50</w:t>
      </w:r>
      <w:r w:rsidR="007018C2">
        <w:t xml:space="preserve">; </w:t>
      </w:r>
      <w:hyperlink r:id="rId149" w:tooltip="Gaming Legislation Amendment Regulation 2015 (No 1)" w:history="1">
        <w:r w:rsidR="007018C2">
          <w:rPr>
            <w:rStyle w:val="charCitHyperlinkAbbrev"/>
          </w:rPr>
          <w:t>SL2015</w:t>
        </w:r>
        <w:r w:rsidR="007018C2">
          <w:rPr>
            <w:rStyle w:val="charCitHyperlinkAbbrev"/>
          </w:rPr>
          <w:noBreakHyphen/>
          <w:t>27</w:t>
        </w:r>
      </w:hyperlink>
      <w:r w:rsidR="00970F35">
        <w:t xml:space="preserve"> s 21</w:t>
      </w:r>
    </w:p>
    <w:p w:rsidR="00D7766E" w:rsidRDefault="00D7766E">
      <w:pPr>
        <w:pStyle w:val="AmdtsEntryHd"/>
      </w:pPr>
      <w:r w:rsidRPr="00A01D89">
        <w:t>Social impact statements</w:t>
      </w:r>
    </w:p>
    <w:p w:rsidR="00D7766E" w:rsidRDefault="00D7766E" w:rsidP="00D7766E">
      <w:pPr>
        <w:pStyle w:val="AmdtsEntries"/>
      </w:pPr>
      <w:r>
        <w:t>pt 3A hdg</w:t>
      </w:r>
      <w:r>
        <w:tab/>
        <w:t xml:space="preserve">ins </w:t>
      </w:r>
      <w:hyperlink r:id="rId150"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970F35" w:rsidRDefault="00970F35" w:rsidP="00970F35">
      <w:pPr>
        <w:pStyle w:val="AmdtsEntries"/>
      </w:pPr>
      <w:r>
        <w:tab/>
        <w:t xml:space="preserve">om </w:t>
      </w:r>
      <w:hyperlink r:id="rId151" w:tooltip="Gaming Legislation Amendment Regulation 2015 (No 1)" w:history="1">
        <w:r>
          <w:rPr>
            <w:rStyle w:val="charCitHyperlinkAbbrev"/>
          </w:rPr>
          <w:t>SL2015</w:t>
        </w:r>
        <w:r>
          <w:rPr>
            <w:rStyle w:val="charCitHyperlinkAbbrev"/>
          </w:rPr>
          <w:noBreakHyphen/>
          <w:t>27</w:t>
        </w:r>
      </w:hyperlink>
      <w:r>
        <w:t xml:space="preserve"> s 22</w:t>
      </w:r>
    </w:p>
    <w:p w:rsidR="007C2D79" w:rsidRDefault="007C2D79" w:rsidP="007C2D79">
      <w:pPr>
        <w:pStyle w:val="AmdtsEntryHd"/>
      </w:pPr>
      <w:r w:rsidRPr="00A01D89">
        <w:lastRenderedPageBreak/>
        <w:t>Definitions—pt 3A</w:t>
      </w:r>
    </w:p>
    <w:p w:rsidR="007C2D79" w:rsidRDefault="007C2D79" w:rsidP="007C2D79">
      <w:pPr>
        <w:pStyle w:val="AmdtsEntries"/>
      </w:pPr>
      <w:r>
        <w:t>s 12A</w:t>
      </w:r>
      <w:r>
        <w:tab/>
        <w:t xml:space="preserve">ins </w:t>
      </w:r>
      <w:hyperlink r:id="rId152"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970F35" w:rsidRDefault="00970F35" w:rsidP="00970F35">
      <w:pPr>
        <w:pStyle w:val="AmdtsEntries"/>
      </w:pPr>
      <w:r>
        <w:tab/>
        <w:t xml:space="preserve">om </w:t>
      </w:r>
      <w:hyperlink r:id="rId153" w:tooltip="Gaming Legislation Amendment Regulation 2015 (No 1)" w:history="1">
        <w:r>
          <w:rPr>
            <w:rStyle w:val="charCitHyperlinkAbbrev"/>
          </w:rPr>
          <w:t>SL2015</w:t>
        </w:r>
        <w:r>
          <w:rPr>
            <w:rStyle w:val="charCitHyperlinkAbbrev"/>
          </w:rPr>
          <w:noBreakHyphen/>
          <w:t>27</w:t>
        </w:r>
      </w:hyperlink>
      <w:r>
        <w:t xml:space="preserve"> s 22</w:t>
      </w:r>
    </w:p>
    <w:p w:rsidR="007C2D79" w:rsidRDefault="007C2D79" w:rsidP="007C2D79">
      <w:pPr>
        <w:pStyle w:val="AmdtsEntries"/>
      </w:pPr>
      <w:r>
        <w:tab/>
        <w:t xml:space="preserve">def </w:t>
      </w:r>
      <w:r w:rsidRPr="00A01D89">
        <w:rPr>
          <w:rStyle w:val="charBoldItals"/>
        </w:rPr>
        <w:t>gaming machine proposal</w:t>
      </w:r>
      <w:r>
        <w:rPr>
          <w:rStyle w:val="charBoldItals"/>
        </w:rPr>
        <w:t xml:space="preserve"> </w:t>
      </w:r>
      <w:r>
        <w:t xml:space="preserve">ins </w:t>
      </w:r>
      <w:hyperlink r:id="rId154"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5D1D93" w:rsidRPr="007C2D79" w:rsidRDefault="005D1D93" w:rsidP="005D1D93">
      <w:pPr>
        <w:pStyle w:val="AmdtsEntriesDefL2"/>
      </w:pPr>
      <w:r>
        <w:tab/>
        <w:t xml:space="preserve">am </w:t>
      </w:r>
      <w:hyperlink r:id="rId155" w:tooltip="Gaming Machine Amendment Regulation 2014 (No 1)" w:history="1">
        <w:r>
          <w:rPr>
            <w:rStyle w:val="charCitHyperlinkAbbrev"/>
          </w:rPr>
          <w:t>SL2014</w:t>
        </w:r>
        <w:r>
          <w:rPr>
            <w:rStyle w:val="charCitHyperlinkAbbrev"/>
          </w:rPr>
          <w:noBreakHyphen/>
          <w:t>22</w:t>
        </w:r>
      </w:hyperlink>
      <w:r>
        <w:t xml:space="preserve"> s 7</w:t>
      </w:r>
    </w:p>
    <w:p w:rsidR="00970F35" w:rsidRDefault="00970F35" w:rsidP="00970F35">
      <w:pPr>
        <w:pStyle w:val="AmdtsEntriesDefL2"/>
      </w:pPr>
      <w:r>
        <w:tab/>
        <w:t xml:space="preserve">om </w:t>
      </w:r>
      <w:hyperlink r:id="rId156" w:tooltip="Gaming Legislation Amendment Regulation 2015 (No 1)" w:history="1">
        <w:r>
          <w:rPr>
            <w:rStyle w:val="charCitHyperlinkAbbrev"/>
          </w:rPr>
          <w:t>SL2015</w:t>
        </w:r>
        <w:r>
          <w:rPr>
            <w:rStyle w:val="charCitHyperlinkAbbrev"/>
          </w:rPr>
          <w:noBreakHyphen/>
          <w:t>27</w:t>
        </w:r>
      </w:hyperlink>
      <w:r>
        <w:t xml:space="preserve"> s 22</w:t>
      </w:r>
    </w:p>
    <w:p w:rsidR="007C2D79" w:rsidRPr="007C2D79" w:rsidRDefault="007C2D79" w:rsidP="007C2D79">
      <w:pPr>
        <w:pStyle w:val="AmdtsEntries"/>
      </w:pPr>
      <w:r>
        <w:tab/>
        <w:t xml:space="preserve">def </w:t>
      </w:r>
      <w:r w:rsidRPr="00A01D89">
        <w:rPr>
          <w:rStyle w:val="charBoldItals"/>
        </w:rPr>
        <w:t>local community</w:t>
      </w:r>
      <w:r>
        <w:rPr>
          <w:rStyle w:val="charBoldItals"/>
        </w:rPr>
        <w:t xml:space="preserve"> </w:t>
      </w:r>
      <w:r>
        <w:t xml:space="preserve">ins </w:t>
      </w:r>
      <w:hyperlink r:id="rId157"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970F35" w:rsidRDefault="00970F35" w:rsidP="00970F35">
      <w:pPr>
        <w:pStyle w:val="AmdtsEntriesDefL2"/>
      </w:pPr>
      <w:r>
        <w:tab/>
        <w:t xml:space="preserve">om </w:t>
      </w:r>
      <w:hyperlink r:id="rId158" w:tooltip="Gaming Legislation Amendment Regulation 2015 (No 1)" w:history="1">
        <w:r>
          <w:rPr>
            <w:rStyle w:val="charCitHyperlinkAbbrev"/>
          </w:rPr>
          <w:t>SL2015</w:t>
        </w:r>
        <w:r>
          <w:rPr>
            <w:rStyle w:val="charCitHyperlinkAbbrev"/>
          </w:rPr>
          <w:noBreakHyphen/>
          <w:t>27</w:t>
        </w:r>
      </w:hyperlink>
      <w:r>
        <w:t xml:space="preserve"> s 22</w:t>
      </w:r>
    </w:p>
    <w:p w:rsidR="007C2D79" w:rsidRDefault="007C2D79" w:rsidP="007C2D79">
      <w:pPr>
        <w:pStyle w:val="AmdtsEntryHd"/>
      </w:pPr>
      <w:r w:rsidRPr="00A01D89">
        <w:t>Requirements for social impact statements—Act, s 26B (6) (a)</w:t>
      </w:r>
    </w:p>
    <w:p w:rsidR="007C2D79" w:rsidRDefault="007C2D79" w:rsidP="007C2D79">
      <w:pPr>
        <w:pStyle w:val="AmdtsEntries"/>
      </w:pPr>
      <w:r>
        <w:t>s 12B</w:t>
      </w:r>
      <w:r>
        <w:tab/>
        <w:t xml:space="preserve">ins </w:t>
      </w:r>
      <w:hyperlink r:id="rId15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970F35" w:rsidRDefault="00970F35" w:rsidP="00970F35">
      <w:pPr>
        <w:pStyle w:val="AmdtsEntries"/>
      </w:pPr>
      <w:r>
        <w:tab/>
        <w:t xml:space="preserve">om </w:t>
      </w:r>
      <w:hyperlink r:id="rId160" w:tooltip="Gaming Legislation Amendment Regulation 2015 (No 1)" w:history="1">
        <w:r>
          <w:rPr>
            <w:rStyle w:val="charCitHyperlinkAbbrev"/>
          </w:rPr>
          <w:t>SL2015</w:t>
        </w:r>
        <w:r>
          <w:rPr>
            <w:rStyle w:val="charCitHyperlinkAbbrev"/>
          </w:rPr>
          <w:noBreakHyphen/>
          <w:t>27</w:t>
        </w:r>
      </w:hyperlink>
      <w:r>
        <w:t xml:space="preserve"> s 22</w:t>
      </w:r>
    </w:p>
    <w:p w:rsidR="007C2D79" w:rsidRDefault="007C2D79" w:rsidP="007C2D79">
      <w:pPr>
        <w:pStyle w:val="AmdtsEntryHd"/>
      </w:pPr>
      <w:r w:rsidRPr="00A01D89">
        <w:t>Matters to be addressed by social impact statements—Act, s 26B (6) (b)</w:t>
      </w:r>
    </w:p>
    <w:p w:rsidR="007C2D79" w:rsidRDefault="007C2D79" w:rsidP="007C2D79">
      <w:pPr>
        <w:pStyle w:val="AmdtsEntries"/>
      </w:pPr>
      <w:r>
        <w:t>s 12C</w:t>
      </w:r>
      <w:r>
        <w:tab/>
        <w:t xml:space="preserve">ins </w:t>
      </w:r>
      <w:hyperlink r:id="rId161"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970F35" w:rsidRDefault="00970F35" w:rsidP="00970F35">
      <w:pPr>
        <w:pStyle w:val="AmdtsEntries"/>
      </w:pPr>
      <w:r>
        <w:tab/>
        <w:t xml:space="preserve">om </w:t>
      </w:r>
      <w:hyperlink r:id="rId162" w:tooltip="Gaming Legislation Amendment Regulation 2015 (No 1)" w:history="1">
        <w:r>
          <w:rPr>
            <w:rStyle w:val="charCitHyperlinkAbbrev"/>
          </w:rPr>
          <w:t>SL2015</w:t>
        </w:r>
        <w:r>
          <w:rPr>
            <w:rStyle w:val="charCitHyperlinkAbbrev"/>
          </w:rPr>
          <w:noBreakHyphen/>
          <w:t>27</w:t>
        </w:r>
      </w:hyperlink>
      <w:r>
        <w:t xml:space="preserve"> s 22</w:t>
      </w:r>
    </w:p>
    <w:p w:rsidR="007C2D79" w:rsidRDefault="007C2D79" w:rsidP="007C2D79">
      <w:pPr>
        <w:pStyle w:val="AmdtsEntryHd"/>
      </w:pPr>
      <w:r w:rsidRPr="00A01D89">
        <w:t>Information to be given in social impact statements—Act, s 26B (6) (c)</w:t>
      </w:r>
    </w:p>
    <w:p w:rsidR="007C2D79" w:rsidRDefault="007C2D79" w:rsidP="007C2D79">
      <w:pPr>
        <w:pStyle w:val="AmdtsEntries"/>
      </w:pPr>
      <w:r>
        <w:t>s 12D</w:t>
      </w:r>
      <w:r>
        <w:tab/>
        <w:t xml:space="preserve">ins </w:t>
      </w:r>
      <w:hyperlink r:id="rId163"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970F35" w:rsidRDefault="00970F35" w:rsidP="00970F35">
      <w:pPr>
        <w:pStyle w:val="AmdtsEntries"/>
      </w:pPr>
      <w:r>
        <w:tab/>
        <w:t xml:space="preserve">om </w:t>
      </w:r>
      <w:hyperlink r:id="rId164" w:tooltip="Gaming Legislation Amendment Regulation 2015 (No 1)" w:history="1">
        <w:r>
          <w:rPr>
            <w:rStyle w:val="charCitHyperlinkAbbrev"/>
          </w:rPr>
          <w:t>SL2015</w:t>
        </w:r>
        <w:r>
          <w:rPr>
            <w:rStyle w:val="charCitHyperlinkAbbrev"/>
          </w:rPr>
          <w:noBreakHyphen/>
          <w:t>27</w:t>
        </w:r>
      </w:hyperlink>
      <w:r>
        <w:t xml:space="preserve"> s 22</w:t>
      </w:r>
    </w:p>
    <w:p w:rsidR="00F02D78" w:rsidRDefault="00FC74FE">
      <w:pPr>
        <w:pStyle w:val="AmdtsEntryHd"/>
      </w:pPr>
      <w:r>
        <w:t>Definitions—pt 4</w:t>
      </w:r>
    </w:p>
    <w:p w:rsidR="00F02D78" w:rsidRDefault="00F02D78" w:rsidP="00F02D78">
      <w:pPr>
        <w:pStyle w:val="AmdtsEntries"/>
      </w:pPr>
      <w:r>
        <w:t>s 13</w:t>
      </w:r>
      <w:r>
        <w:tab/>
        <w:t xml:space="preserve">def </w:t>
      </w:r>
      <w:r w:rsidR="00FC74FE">
        <w:rPr>
          <w:rStyle w:val="charBoldItals"/>
        </w:rPr>
        <w:t>conducted electronically</w:t>
      </w:r>
      <w:r>
        <w:t xml:space="preserve"> ins </w:t>
      </w:r>
      <w:hyperlink r:id="rId165" w:tooltip="Gaming Machine (Ballots) Amendment Regulation 2016 (No 1)" w:history="1">
        <w:r>
          <w:rPr>
            <w:rStyle w:val="charCitHyperlinkAbbrev"/>
          </w:rPr>
          <w:t>SL2016</w:t>
        </w:r>
        <w:r>
          <w:rPr>
            <w:rStyle w:val="charCitHyperlinkAbbrev"/>
          </w:rPr>
          <w:noBreakHyphen/>
          <w:t>11</w:t>
        </w:r>
      </w:hyperlink>
      <w:r>
        <w:t xml:space="preserve"> s 4</w:t>
      </w:r>
    </w:p>
    <w:p w:rsidR="00F02D78" w:rsidRDefault="00F02D78" w:rsidP="00F02D78">
      <w:pPr>
        <w:pStyle w:val="AmdtsEntries"/>
      </w:pPr>
      <w:r>
        <w:tab/>
        <w:t xml:space="preserve">def </w:t>
      </w:r>
      <w:r w:rsidR="00FC74FE">
        <w:rPr>
          <w:rStyle w:val="charBoldItals"/>
        </w:rPr>
        <w:t>independent ballot service provider</w:t>
      </w:r>
      <w:r>
        <w:t xml:space="preserve"> ins </w:t>
      </w:r>
      <w:hyperlink r:id="rId166" w:tooltip="Gaming Machine (Ballots) Amendment Regulation 2016 (No 1)" w:history="1">
        <w:r>
          <w:rPr>
            <w:rStyle w:val="charCitHyperlinkAbbrev"/>
          </w:rPr>
          <w:t>SL2016</w:t>
        </w:r>
        <w:r>
          <w:rPr>
            <w:rStyle w:val="charCitHyperlinkAbbrev"/>
          </w:rPr>
          <w:noBreakHyphen/>
          <w:t>11</w:t>
        </w:r>
      </w:hyperlink>
      <w:r>
        <w:t xml:space="preserve"> s 4</w:t>
      </w:r>
    </w:p>
    <w:p w:rsidR="00F02D78" w:rsidRDefault="00F02D78" w:rsidP="00F02D78">
      <w:pPr>
        <w:pStyle w:val="AmdtsEntries"/>
      </w:pPr>
      <w:r>
        <w:tab/>
        <w:t xml:space="preserve">def </w:t>
      </w:r>
      <w:r w:rsidR="00FC74FE">
        <w:rPr>
          <w:rStyle w:val="charBoldItals"/>
        </w:rPr>
        <w:t>person conducting a ballot</w:t>
      </w:r>
      <w:r>
        <w:t xml:space="preserve"> ins </w:t>
      </w:r>
      <w:hyperlink r:id="rId167" w:tooltip="Gaming Machine (Ballots) Amendment Regulation 2016 (No 1)" w:history="1">
        <w:r>
          <w:rPr>
            <w:rStyle w:val="charCitHyperlinkAbbrev"/>
          </w:rPr>
          <w:t>SL2016</w:t>
        </w:r>
        <w:r>
          <w:rPr>
            <w:rStyle w:val="charCitHyperlinkAbbrev"/>
          </w:rPr>
          <w:noBreakHyphen/>
          <w:t>11</w:t>
        </w:r>
      </w:hyperlink>
      <w:r>
        <w:t xml:space="preserve"> s 4</w:t>
      </w:r>
    </w:p>
    <w:p w:rsidR="00F02D78" w:rsidRPr="00F02D78" w:rsidRDefault="00F02D78" w:rsidP="00F02D78">
      <w:pPr>
        <w:pStyle w:val="AmdtsEntries"/>
      </w:pPr>
      <w:r>
        <w:tab/>
        <w:t xml:space="preserve">def </w:t>
      </w:r>
      <w:r w:rsidR="00FC74FE">
        <w:rPr>
          <w:rStyle w:val="charBoldItals"/>
        </w:rPr>
        <w:t>voting document</w:t>
      </w:r>
      <w:r>
        <w:t xml:space="preserve"> ins </w:t>
      </w:r>
      <w:hyperlink r:id="rId168" w:tooltip="Gaming Machine (Ballots) Amendment Regulation 2016 (No 1)" w:history="1">
        <w:r>
          <w:rPr>
            <w:rStyle w:val="charCitHyperlinkAbbrev"/>
          </w:rPr>
          <w:t>SL2016</w:t>
        </w:r>
        <w:r>
          <w:rPr>
            <w:rStyle w:val="charCitHyperlinkAbbrev"/>
          </w:rPr>
          <w:noBreakHyphen/>
          <w:t>11</w:t>
        </w:r>
      </w:hyperlink>
      <w:r>
        <w:t xml:space="preserve"> s 4</w:t>
      </w:r>
    </w:p>
    <w:p w:rsidR="007C2D79" w:rsidRDefault="007C2D79">
      <w:pPr>
        <w:pStyle w:val="AmdtsEntryHd"/>
      </w:pPr>
      <w:r>
        <w:t>Conduct of ballots</w:t>
      </w:r>
    </w:p>
    <w:p w:rsidR="00970F35" w:rsidRDefault="007C2D79" w:rsidP="00970F35">
      <w:pPr>
        <w:pStyle w:val="AmdtsEntries"/>
      </w:pPr>
      <w:r>
        <w:t>s 14</w:t>
      </w:r>
      <w:r>
        <w:tab/>
        <w:t xml:space="preserve">am </w:t>
      </w:r>
      <w:hyperlink r:id="rId16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52</w:t>
      </w:r>
      <w:r w:rsidR="00970F35">
        <w:t xml:space="preserve">; </w:t>
      </w:r>
      <w:hyperlink r:id="rId170" w:tooltip="Gaming Legislation Amendment Regulation 2015 (No 1)" w:history="1">
        <w:r w:rsidR="00970F35">
          <w:rPr>
            <w:rStyle w:val="charCitHyperlinkAbbrev"/>
          </w:rPr>
          <w:t>SL2015</w:t>
        </w:r>
        <w:r w:rsidR="00970F35">
          <w:rPr>
            <w:rStyle w:val="charCitHyperlinkAbbrev"/>
          </w:rPr>
          <w:noBreakHyphen/>
          <w:t>27</w:t>
        </w:r>
      </w:hyperlink>
      <w:r w:rsidR="00970F35">
        <w:t xml:space="preserve"> s 23</w:t>
      </w:r>
      <w:r w:rsidR="00FC74FE">
        <w:t xml:space="preserve">; </w:t>
      </w:r>
      <w:hyperlink r:id="rId171" w:tooltip="Gaming Machine (Ballots) Amendment Regulation 2016 (No 1)" w:history="1">
        <w:r w:rsidR="00FC74FE">
          <w:rPr>
            <w:rStyle w:val="charCitHyperlinkAbbrev"/>
          </w:rPr>
          <w:t>SL2016</w:t>
        </w:r>
        <w:r w:rsidR="00FC74FE">
          <w:rPr>
            <w:rStyle w:val="charCitHyperlinkAbbrev"/>
          </w:rPr>
          <w:noBreakHyphen/>
          <w:t>11</w:t>
        </w:r>
      </w:hyperlink>
      <w:r w:rsidR="00FC74FE">
        <w:t xml:space="preserve"> s 5</w:t>
      </w:r>
    </w:p>
    <w:p w:rsidR="007B1F43" w:rsidRDefault="00EA623B">
      <w:pPr>
        <w:pStyle w:val="AmdtsEntryHd"/>
      </w:pPr>
      <w:r>
        <w:t>Telling commission about ballot</w:t>
      </w:r>
    </w:p>
    <w:p w:rsidR="00EA623B" w:rsidRDefault="00EA623B" w:rsidP="00EA623B">
      <w:pPr>
        <w:pStyle w:val="AmdtsEntries"/>
      </w:pPr>
      <w:r>
        <w:t>s 17</w:t>
      </w:r>
      <w:r>
        <w:tab/>
        <w:t xml:space="preserve">am </w:t>
      </w:r>
      <w:hyperlink r:id="rId172"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1.15</w:t>
      </w:r>
      <w:r w:rsidR="00701059">
        <w:t xml:space="preserve">; </w:t>
      </w:r>
      <w:hyperlink r:id="rId173" w:tooltip="Red Tape Reduction Legislation Amendment Act 2015" w:history="1">
        <w:r w:rsidR="00701059">
          <w:rPr>
            <w:rStyle w:val="charCitHyperlinkAbbrev"/>
          </w:rPr>
          <w:t>A2015</w:t>
        </w:r>
        <w:r w:rsidR="00701059">
          <w:rPr>
            <w:rStyle w:val="charCitHyperlinkAbbrev"/>
          </w:rPr>
          <w:noBreakHyphen/>
          <w:t>33</w:t>
        </w:r>
      </w:hyperlink>
      <w:r w:rsidR="00701059">
        <w:t xml:space="preserve"> amdt 1.98</w:t>
      </w:r>
    </w:p>
    <w:p w:rsidR="00FC74FE" w:rsidRPr="00701059" w:rsidRDefault="00FC74FE" w:rsidP="00EA623B">
      <w:pPr>
        <w:pStyle w:val="AmdtsEntries"/>
      </w:pPr>
      <w:r>
        <w:tab/>
        <w:t xml:space="preserve">sub </w:t>
      </w:r>
      <w:hyperlink r:id="rId174" w:tooltip="Gaming Machine (Ballots) Amendment Regulation 2016 (No 1)" w:history="1">
        <w:r>
          <w:rPr>
            <w:rStyle w:val="charCitHyperlinkAbbrev"/>
          </w:rPr>
          <w:t>SL2016</w:t>
        </w:r>
        <w:r>
          <w:rPr>
            <w:rStyle w:val="charCitHyperlinkAbbrev"/>
          </w:rPr>
          <w:noBreakHyphen/>
          <w:t>11</w:t>
        </w:r>
      </w:hyperlink>
      <w:r>
        <w:t xml:space="preserve"> s 6</w:t>
      </w:r>
    </w:p>
    <w:p w:rsidR="00701059" w:rsidRDefault="00FC74FE">
      <w:pPr>
        <w:pStyle w:val="AmdtsEntryHd"/>
      </w:pPr>
      <w:r>
        <w:rPr>
          <w:lang w:eastAsia="en-AU"/>
        </w:rPr>
        <w:t>Information about ballot</w:t>
      </w:r>
    </w:p>
    <w:p w:rsidR="00701059" w:rsidRPr="00701059" w:rsidRDefault="00701059" w:rsidP="00701059">
      <w:pPr>
        <w:pStyle w:val="AmdtsEntries"/>
      </w:pPr>
      <w:r>
        <w:t>s 18</w:t>
      </w:r>
      <w:r>
        <w:tab/>
        <w:t xml:space="preserve">sub </w:t>
      </w:r>
      <w:hyperlink r:id="rId175" w:tooltip="Red Tape Reduction Legislation Amendment Act 2015" w:history="1">
        <w:r>
          <w:rPr>
            <w:rStyle w:val="charCitHyperlinkAbbrev"/>
          </w:rPr>
          <w:t>A2015</w:t>
        </w:r>
        <w:r>
          <w:rPr>
            <w:rStyle w:val="charCitHyperlinkAbbrev"/>
          </w:rPr>
          <w:noBreakHyphen/>
          <w:t>33</w:t>
        </w:r>
      </w:hyperlink>
      <w:r>
        <w:t xml:space="preserve"> amdt 1.99</w:t>
      </w:r>
      <w:r w:rsidR="00FC74FE">
        <w:t xml:space="preserve">; </w:t>
      </w:r>
      <w:hyperlink r:id="rId176" w:tooltip="Gaming Machine (Ballots) Amendment Regulation 2016 (No 1)" w:history="1">
        <w:r w:rsidR="00FC74FE">
          <w:rPr>
            <w:rStyle w:val="charCitHyperlinkAbbrev"/>
          </w:rPr>
          <w:t>SL2016</w:t>
        </w:r>
        <w:r w:rsidR="00FC74FE">
          <w:rPr>
            <w:rStyle w:val="charCitHyperlinkAbbrev"/>
          </w:rPr>
          <w:noBreakHyphen/>
          <w:t>11</w:t>
        </w:r>
      </w:hyperlink>
      <w:r w:rsidR="00FC74FE">
        <w:t xml:space="preserve"> s 6</w:t>
      </w:r>
    </w:p>
    <w:p w:rsidR="00C3314B" w:rsidRDefault="00C3314B">
      <w:pPr>
        <w:pStyle w:val="AmdtsEntryHd"/>
      </w:pPr>
      <w:r>
        <w:t>Commission may inspect ballot documents</w:t>
      </w:r>
    </w:p>
    <w:p w:rsidR="00C3314B" w:rsidRPr="00C3314B" w:rsidRDefault="00C3314B" w:rsidP="00C3314B">
      <w:pPr>
        <w:pStyle w:val="AmdtsEntries"/>
      </w:pPr>
      <w:r>
        <w:t>s 19</w:t>
      </w:r>
      <w:r>
        <w:tab/>
        <w:t xml:space="preserve">am </w:t>
      </w:r>
      <w:hyperlink r:id="rId177"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1.16</w:t>
      </w:r>
    </w:p>
    <w:p w:rsidR="00C3314B" w:rsidRDefault="00C3314B">
      <w:pPr>
        <w:pStyle w:val="AmdtsEntryHd"/>
      </w:pPr>
      <w:r>
        <w:t xml:space="preserve">Voting members must be </w:t>
      </w:r>
      <w:r w:rsidR="00FC74FE">
        <w:t>given</w:t>
      </w:r>
      <w:r>
        <w:t xml:space="preserve"> ballot </w:t>
      </w:r>
      <w:r w:rsidR="00FC74FE">
        <w:t>documents</w:t>
      </w:r>
    </w:p>
    <w:p w:rsidR="00C3314B" w:rsidRDefault="00C3314B" w:rsidP="00C3314B">
      <w:pPr>
        <w:pStyle w:val="AmdtsEntries"/>
      </w:pPr>
      <w:r>
        <w:t>s 20</w:t>
      </w:r>
      <w:r>
        <w:tab/>
        <w:t xml:space="preserve">am </w:t>
      </w:r>
      <w:hyperlink r:id="rId178"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w:t>
      </w:r>
      <w:r w:rsidR="008E60C2">
        <w:t>1.17</w:t>
      </w:r>
    </w:p>
    <w:p w:rsidR="000455FA" w:rsidRPr="00C3314B" w:rsidRDefault="000455FA" w:rsidP="00C3314B">
      <w:pPr>
        <w:pStyle w:val="AmdtsEntries"/>
      </w:pPr>
      <w:r>
        <w:tab/>
        <w:t xml:space="preserve">sub </w:t>
      </w:r>
      <w:hyperlink r:id="rId179" w:tooltip="Gaming Machine (Ballots) Amendment Regulation 2016 (No 1)" w:history="1">
        <w:r>
          <w:rPr>
            <w:rStyle w:val="charCitHyperlinkAbbrev"/>
          </w:rPr>
          <w:t>SL2016</w:t>
        </w:r>
        <w:r>
          <w:rPr>
            <w:rStyle w:val="charCitHyperlinkAbbrev"/>
          </w:rPr>
          <w:noBreakHyphen/>
          <w:t>11</w:t>
        </w:r>
      </w:hyperlink>
      <w:r>
        <w:t xml:space="preserve"> s 7</w:t>
      </w:r>
    </w:p>
    <w:p w:rsidR="008E60C2" w:rsidRDefault="008E60C2">
      <w:pPr>
        <w:pStyle w:val="AmdtsEntryHd"/>
      </w:pPr>
      <w:r>
        <w:t>Checking votes</w:t>
      </w:r>
    </w:p>
    <w:p w:rsidR="008E60C2" w:rsidRDefault="008E60C2" w:rsidP="008E60C2">
      <w:pPr>
        <w:pStyle w:val="AmdtsEntries"/>
      </w:pPr>
      <w:r>
        <w:t>s 21</w:t>
      </w:r>
      <w:r>
        <w:tab/>
        <w:t xml:space="preserve">am </w:t>
      </w:r>
      <w:hyperlink r:id="rId180"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1.18</w:t>
      </w:r>
    </w:p>
    <w:p w:rsidR="00FC74FE" w:rsidRPr="008E60C2" w:rsidRDefault="00FC74FE" w:rsidP="008E60C2">
      <w:pPr>
        <w:pStyle w:val="AmdtsEntries"/>
      </w:pPr>
      <w:r>
        <w:tab/>
        <w:t xml:space="preserve">sub </w:t>
      </w:r>
      <w:hyperlink r:id="rId181" w:tooltip="Gaming Machine (Ballots) Amendment Regulation 2016 (No 1)" w:history="1">
        <w:r>
          <w:rPr>
            <w:rStyle w:val="charCitHyperlinkAbbrev"/>
          </w:rPr>
          <w:t>SL2016</w:t>
        </w:r>
        <w:r>
          <w:rPr>
            <w:rStyle w:val="charCitHyperlinkAbbrev"/>
          </w:rPr>
          <w:noBreakHyphen/>
          <w:t>11</w:t>
        </w:r>
      </w:hyperlink>
      <w:r>
        <w:t xml:space="preserve"> s 7</w:t>
      </w:r>
    </w:p>
    <w:p w:rsidR="008E60C2" w:rsidRDefault="008E60C2">
      <w:pPr>
        <w:pStyle w:val="AmdtsEntryHd"/>
      </w:pPr>
      <w:r w:rsidRPr="00FE434D">
        <w:t>Counting votes for ballot</w:t>
      </w:r>
    </w:p>
    <w:p w:rsidR="008E60C2" w:rsidRPr="008E60C2" w:rsidRDefault="008E60C2" w:rsidP="008E60C2">
      <w:pPr>
        <w:pStyle w:val="AmdtsEntries"/>
      </w:pPr>
      <w:r>
        <w:t>s 22</w:t>
      </w:r>
      <w:r>
        <w:tab/>
        <w:t xml:space="preserve">sub </w:t>
      </w:r>
      <w:hyperlink r:id="rId182"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1.19</w:t>
      </w:r>
      <w:r w:rsidR="000455FA">
        <w:t xml:space="preserve">; </w:t>
      </w:r>
      <w:hyperlink r:id="rId183" w:tooltip="Gaming Machine (Ballots) Amendment Regulation 2016 (No 1)" w:history="1">
        <w:r w:rsidR="000455FA">
          <w:rPr>
            <w:rStyle w:val="charCitHyperlinkAbbrev"/>
          </w:rPr>
          <w:t>SL2016</w:t>
        </w:r>
        <w:r w:rsidR="000455FA">
          <w:rPr>
            <w:rStyle w:val="charCitHyperlinkAbbrev"/>
          </w:rPr>
          <w:noBreakHyphen/>
          <w:t>11</w:t>
        </w:r>
      </w:hyperlink>
      <w:r w:rsidR="000455FA">
        <w:t xml:space="preserve"> s 7</w:t>
      </w:r>
    </w:p>
    <w:p w:rsidR="008E60C2" w:rsidRDefault="008E60C2">
      <w:pPr>
        <w:pStyle w:val="AmdtsEntryHd"/>
      </w:pPr>
      <w:r w:rsidRPr="00FE434D">
        <w:lastRenderedPageBreak/>
        <w:t>Alternative person</w:t>
      </w:r>
    </w:p>
    <w:p w:rsidR="008E60C2" w:rsidRDefault="008E60C2" w:rsidP="008E60C2">
      <w:pPr>
        <w:pStyle w:val="AmdtsEntries"/>
      </w:pPr>
      <w:r>
        <w:t>s 22A</w:t>
      </w:r>
      <w:r>
        <w:tab/>
        <w:t xml:space="preserve">ins </w:t>
      </w:r>
      <w:hyperlink r:id="rId184"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1.20</w:t>
      </w:r>
    </w:p>
    <w:p w:rsidR="000455FA" w:rsidRPr="008E60C2" w:rsidRDefault="000455FA" w:rsidP="008E60C2">
      <w:pPr>
        <w:pStyle w:val="AmdtsEntries"/>
      </w:pPr>
      <w:r>
        <w:tab/>
        <w:t xml:space="preserve">sub </w:t>
      </w:r>
      <w:hyperlink r:id="rId185" w:tooltip="Gaming Machine (Ballots) Amendment Regulation 2016 (No 1)" w:history="1">
        <w:r>
          <w:rPr>
            <w:rStyle w:val="charCitHyperlinkAbbrev"/>
          </w:rPr>
          <w:t>SL2016</w:t>
        </w:r>
        <w:r>
          <w:rPr>
            <w:rStyle w:val="charCitHyperlinkAbbrev"/>
          </w:rPr>
          <w:noBreakHyphen/>
          <w:t>11</w:t>
        </w:r>
      </w:hyperlink>
      <w:r>
        <w:t xml:space="preserve"> s 7</w:t>
      </w:r>
    </w:p>
    <w:p w:rsidR="008E60C2" w:rsidRDefault="008E60C2" w:rsidP="008E60C2">
      <w:pPr>
        <w:pStyle w:val="AmdtsEntryHd"/>
      </w:pPr>
      <w:r w:rsidRPr="00FE434D">
        <w:t>Supervisory role of commission</w:t>
      </w:r>
    </w:p>
    <w:p w:rsidR="008E60C2" w:rsidRPr="008E60C2" w:rsidRDefault="008E60C2" w:rsidP="008E60C2">
      <w:pPr>
        <w:pStyle w:val="AmdtsEntries"/>
      </w:pPr>
      <w:r>
        <w:t>s 22B</w:t>
      </w:r>
      <w:r>
        <w:tab/>
        <w:t xml:space="preserve">ins </w:t>
      </w:r>
      <w:hyperlink r:id="rId186"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1.20</w:t>
      </w:r>
    </w:p>
    <w:p w:rsidR="000455FA" w:rsidRDefault="000455FA" w:rsidP="00B6571D">
      <w:pPr>
        <w:pStyle w:val="AmdtsEntryHd"/>
      </w:pPr>
      <w:r>
        <w:t>Supervisory role of club secretary</w:t>
      </w:r>
    </w:p>
    <w:p w:rsidR="000455FA" w:rsidRPr="000455FA" w:rsidRDefault="000455FA" w:rsidP="000455FA">
      <w:pPr>
        <w:pStyle w:val="AmdtsEntries"/>
      </w:pPr>
      <w:r>
        <w:t>s 22C</w:t>
      </w:r>
      <w:r>
        <w:tab/>
        <w:t xml:space="preserve">ins </w:t>
      </w:r>
      <w:hyperlink r:id="rId187" w:tooltip="Gaming Machine (Ballots) Amendment Regulation 2016 (No 1)" w:history="1">
        <w:r>
          <w:rPr>
            <w:rStyle w:val="charCitHyperlinkAbbrev"/>
          </w:rPr>
          <w:t>SL2016</w:t>
        </w:r>
        <w:r>
          <w:rPr>
            <w:rStyle w:val="charCitHyperlinkAbbrev"/>
          </w:rPr>
          <w:noBreakHyphen/>
          <w:t>11</w:t>
        </w:r>
      </w:hyperlink>
      <w:r>
        <w:t xml:space="preserve"> s 8</w:t>
      </w:r>
    </w:p>
    <w:p w:rsidR="00B6571D" w:rsidRDefault="00B6571D" w:rsidP="00B6571D">
      <w:pPr>
        <w:pStyle w:val="AmdtsEntryHd"/>
      </w:pPr>
      <w:r>
        <w:t>Keeping completed ballot documents</w:t>
      </w:r>
    </w:p>
    <w:p w:rsidR="00B6571D" w:rsidRDefault="00B6571D" w:rsidP="00B6571D">
      <w:pPr>
        <w:pStyle w:val="AmdtsEntries"/>
      </w:pPr>
      <w:r>
        <w:t>s 23</w:t>
      </w:r>
      <w:r>
        <w:tab/>
        <w:t xml:space="preserve">am </w:t>
      </w:r>
      <w:hyperlink r:id="rId188" w:tooltip="Gaming Machine Amendment Regulation 2014 (No 1)" w:history="1">
        <w:r>
          <w:rPr>
            <w:rStyle w:val="charCitHyperlinkAbbrev"/>
          </w:rPr>
          <w:t>SL2014</w:t>
        </w:r>
        <w:r>
          <w:rPr>
            <w:rStyle w:val="charCitHyperlinkAbbrev"/>
          </w:rPr>
          <w:noBreakHyphen/>
          <w:t>22</w:t>
        </w:r>
      </w:hyperlink>
      <w:r>
        <w:t xml:space="preserve"> s 8</w:t>
      </w:r>
    </w:p>
    <w:p w:rsidR="000455FA" w:rsidRPr="005D1D93" w:rsidRDefault="000455FA" w:rsidP="00B6571D">
      <w:pPr>
        <w:pStyle w:val="AmdtsEntries"/>
      </w:pPr>
      <w:r>
        <w:tab/>
        <w:t xml:space="preserve">sub </w:t>
      </w:r>
      <w:hyperlink r:id="rId189" w:tooltip="Gaming Machine (Ballots) Amendment Regulation 2016 (No 1)" w:history="1">
        <w:r>
          <w:rPr>
            <w:rStyle w:val="charCitHyperlinkAbbrev"/>
          </w:rPr>
          <w:t>SL2016</w:t>
        </w:r>
        <w:r>
          <w:rPr>
            <w:rStyle w:val="charCitHyperlinkAbbrev"/>
          </w:rPr>
          <w:noBreakHyphen/>
          <w:t>11</w:t>
        </w:r>
      </w:hyperlink>
      <w:r>
        <w:t xml:space="preserve"> s 9</w:t>
      </w:r>
    </w:p>
    <w:p w:rsidR="00103AB5" w:rsidRDefault="00103AB5" w:rsidP="00103AB5">
      <w:pPr>
        <w:pStyle w:val="AmdtsEntryHd"/>
      </w:pPr>
      <w:r>
        <w:t>Gaming machines to be on CMS</w:t>
      </w:r>
    </w:p>
    <w:p w:rsidR="00103AB5" w:rsidRPr="00836523" w:rsidRDefault="00103AB5" w:rsidP="00103AB5">
      <w:pPr>
        <w:pStyle w:val="AmdtsEntries"/>
      </w:pPr>
      <w:r>
        <w:t>s 25</w:t>
      </w:r>
      <w:r>
        <w:tab/>
        <w:t xml:space="preserve">am </w:t>
      </w:r>
      <w:hyperlink r:id="rId190" w:tooltip="Gaming Legislation Amendment Regulation 2015 (No 1)" w:history="1">
        <w:r>
          <w:rPr>
            <w:rStyle w:val="charCitHyperlinkAbbrev"/>
          </w:rPr>
          <w:t>SL2015</w:t>
        </w:r>
        <w:r>
          <w:rPr>
            <w:rStyle w:val="charCitHyperlinkAbbrev"/>
          </w:rPr>
          <w:noBreakHyphen/>
          <w:t>27</w:t>
        </w:r>
      </w:hyperlink>
      <w:r>
        <w:t xml:space="preserve"> s 40</w:t>
      </w:r>
    </w:p>
    <w:p w:rsidR="00836523" w:rsidRDefault="00836523" w:rsidP="00272EE8">
      <w:pPr>
        <w:pStyle w:val="AmdtsEntryHd"/>
      </w:pPr>
      <w:r>
        <w:t>CMS Access</w:t>
      </w:r>
    </w:p>
    <w:p w:rsidR="00836523" w:rsidRPr="00836523" w:rsidRDefault="00836523" w:rsidP="00836523">
      <w:pPr>
        <w:pStyle w:val="AmdtsEntries"/>
      </w:pPr>
      <w:r>
        <w:t>s 26</w:t>
      </w:r>
      <w:r>
        <w:tab/>
        <w:t xml:space="preserve">am </w:t>
      </w:r>
      <w:hyperlink r:id="rId191" w:tooltip="Gaming Legislation Amendment Regulation 2015 (No 1)" w:history="1">
        <w:r w:rsidR="00FD1170">
          <w:rPr>
            <w:rStyle w:val="charCitHyperlinkAbbrev"/>
          </w:rPr>
          <w:t>SL2015</w:t>
        </w:r>
        <w:r w:rsidR="00FD1170">
          <w:rPr>
            <w:rStyle w:val="charCitHyperlinkAbbrev"/>
          </w:rPr>
          <w:noBreakHyphen/>
          <w:t>27</w:t>
        </w:r>
      </w:hyperlink>
      <w:r w:rsidR="00FD1170">
        <w:t xml:space="preserve"> s 39</w:t>
      </w:r>
    </w:p>
    <w:p w:rsidR="00A6619A" w:rsidRDefault="001454FC" w:rsidP="00272EE8">
      <w:pPr>
        <w:pStyle w:val="AmdtsEntryHd"/>
      </w:pPr>
      <w:r w:rsidRPr="000E481D">
        <w:t>Cashless gaming systems</w:t>
      </w:r>
    </w:p>
    <w:p w:rsidR="001454FC" w:rsidRPr="001454FC" w:rsidRDefault="001454FC" w:rsidP="001454FC">
      <w:pPr>
        <w:pStyle w:val="AmdtsEntries"/>
      </w:pPr>
      <w:r>
        <w:t>pt 6 hdg</w:t>
      </w:r>
      <w:r>
        <w:tab/>
        <w:t xml:space="preserve">sub </w:t>
      </w:r>
      <w:hyperlink r:id="rId192" w:tooltip="Gaming Machine Amendment Regulation 2014 (No 1)" w:history="1">
        <w:r>
          <w:rPr>
            <w:rStyle w:val="charCitHyperlinkAbbrev"/>
          </w:rPr>
          <w:t>SL2014</w:t>
        </w:r>
        <w:r>
          <w:rPr>
            <w:rStyle w:val="charCitHyperlinkAbbrev"/>
          </w:rPr>
          <w:noBreakHyphen/>
          <w:t>22</w:t>
        </w:r>
      </w:hyperlink>
      <w:r>
        <w:t xml:space="preserve"> s 9</w:t>
      </w:r>
    </w:p>
    <w:p w:rsidR="001454FC" w:rsidRDefault="001454FC" w:rsidP="00272EE8">
      <w:pPr>
        <w:pStyle w:val="AmdtsEntryHd"/>
      </w:pPr>
      <w:r w:rsidRPr="000E481D">
        <w:t>Definitions—pt 6</w:t>
      </w:r>
    </w:p>
    <w:p w:rsidR="001454FC" w:rsidRDefault="001454FC" w:rsidP="001454FC">
      <w:pPr>
        <w:pStyle w:val="AmdtsEntries"/>
      </w:pPr>
      <w:r>
        <w:t>s 27</w:t>
      </w:r>
      <w:r>
        <w:tab/>
        <w:t xml:space="preserve">sub </w:t>
      </w:r>
      <w:hyperlink r:id="rId193" w:tooltip="Gaming Machine Amendment Regulation 2014 (No 1)" w:history="1">
        <w:r>
          <w:rPr>
            <w:rStyle w:val="charCitHyperlinkAbbrev"/>
          </w:rPr>
          <w:t>SL2014</w:t>
        </w:r>
        <w:r>
          <w:rPr>
            <w:rStyle w:val="charCitHyperlinkAbbrev"/>
          </w:rPr>
          <w:noBreakHyphen/>
          <w:t>22</w:t>
        </w:r>
      </w:hyperlink>
      <w:r>
        <w:t xml:space="preserve"> s 9</w:t>
      </w:r>
    </w:p>
    <w:p w:rsidR="00CC113B" w:rsidRPr="00CC113B" w:rsidRDefault="00054744" w:rsidP="001454FC">
      <w:pPr>
        <w:pStyle w:val="AmdtsEntries"/>
      </w:pPr>
      <w:r>
        <w:t>s 27 (1)</w:t>
      </w:r>
      <w:r w:rsidR="00CC113B">
        <w:tab/>
        <w:t xml:space="preserve">def </w:t>
      </w:r>
      <w:r w:rsidR="00CC113B" w:rsidRPr="000E481D">
        <w:rPr>
          <w:rStyle w:val="charBoldItals"/>
        </w:rPr>
        <w:t>cashless gaming card</w:t>
      </w:r>
      <w:r w:rsidR="00CC113B">
        <w:rPr>
          <w:rStyle w:val="charBoldItals"/>
        </w:rPr>
        <w:t xml:space="preserve"> </w:t>
      </w:r>
      <w:r w:rsidR="00CC113B">
        <w:t xml:space="preserve">ins </w:t>
      </w:r>
      <w:hyperlink r:id="rId194"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rsidR="00CC113B" w:rsidRDefault="00CC113B" w:rsidP="00CC113B">
      <w:pPr>
        <w:pStyle w:val="AmdtsEntries"/>
      </w:pPr>
      <w:r>
        <w:tab/>
        <w:t xml:space="preserve">def </w:t>
      </w:r>
      <w:r w:rsidRPr="000E481D">
        <w:rPr>
          <w:rStyle w:val="charBoldItals"/>
        </w:rPr>
        <w:t>cashless gaming system</w:t>
      </w:r>
      <w:r>
        <w:rPr>
          <w:rStyle w:val="charBoldItals"/>
        </w:rPr>
        <w:t xml:space="preserve"> </w:t>
      </w:r>
      <w:r>
        <w:t xml:space="preserve">ins </w:t>
      </w:r>
      <w:hyperlink r:id="rId195" w:tooltip="Gaming Machine Amendment Regulation 2014 (No 1)" w:history="1">
        <w:r>
          <w:rPr>
            <w:rStyle w:val="charCitHyperlinkAbbrev"/>
          </w:rPr>
          <w:t>SL2014</w:t>
        </w:r>
        <w:r>
          <w:rPr>
            <w:rStyle w:val="charCitHyperlinkAbbrev"/>
          </w:rPr>
          <w:noBreakHyphen/>
          <w:t>22</w:t>
        </w:r>
      </w:hyperlink>
      <w:r>
        <w:t xml:space="preserve"> s 9</w:t>
      </w:r>
    </w:p>
    <w:p w:rsidR="008349C7" w:rsidRPr="00CC113B" w:rsidRDefault="008349C7" w:rsidP="008349C7">
      <w:pPr>
        <w:pStyle w:val="AmdtsEntriesDefL2"/>
      </w:pPr>
      <w:r>
        <w:tab/>
        <w:t xml:space="preserve">am </w:t>
      </w:r>
      <w:hyperlink r:id="rId196" w:tooltip="Gaming Legislation Amendment Regulation 2015 (No 1)" w:history="1">
        <w:r>
          <w:rPr>
            <w:rStyle w:val="charCitHyperlinkAbbrev"/>
          </w:rPr>
          <w:t>SL2015</w:t>
        </w:r>
        <w:r>
          <w:rPr>
            <w:rStyle w:val="charCitHyperlinkAbbrev"/>
          </w:rPr>
          <w:noBreakHyphen/>
          <w:t>27</w:t>
        </w:r>
      </w:hyperlink>
      <w:r>
        <w:t xml:space="preserve"> s 40</w:t>
      </w:r>
    </w:p>
    <w:p w:rsidR="00CC113B" w:rsidRPr="00CC113B" w:rsidRDefault="000455FA" w:rsidP="00CC113B">
      <w:pPr>
        <w:pStyle w:val="AmdtsEntries"/>
      </w:pPr>
      <w:r>
        <w:tab/>
      </w:r>
      <w:r w:rsidR="00CC113B">
        <w:t xml:space="preserve">def </w:t>
      </w:r>
      <w:r w:rsidR="00CC113B" w:rsidRPr="000E481D">
        <w:rPr>
          <w:rStyle w:val="charBoldItals"/>
        </w:rPr>
        <w:t>expired gaming credits</w:t>
      </w:r>
      <w:r w:rsidR="00CC113B">
        <w:rPr>
          <w:rStyle w:val="charBoldItals"/>
        </w:rPr>
        <w:t xml:space="preserve"> </w:t>
      </w:r>
      <w:r w:rsidR="00CC113B">
        <w:t xml:space="preserve">ins </w:t>
      </w:r>
      <w:hyperlink r:id="rId197"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rsidR="00CC113B" w:rsidRPr="00CC113B" w:rsidRDefault="00CC113B" w:rsidP="00CC113B">
      <w:pPr>
        <w:pStyle w:val="AmdtsEntries"/>
      </w:pPr>
      <w:r>
        <w:tab/>
        <w:t xml:space="preserve">def </w:t>
      </w:r>
      <w:r w:rsidRPr="000E481D">
        <w:rPr>
          <w:rStyle w:val="charBoldItals"/>
        </w:rPr>
        <w:t>gaming credits</w:t>
      </w:r>
      <w:r>
        <w:rPr>
          <w:rStyle w:val="charBoldItals"/>
        </w:rPr>
        <w:t xml:space="preserve"> </w:t>
      </w:r>
      <w:r>
        <w:t xml:space="preserve">sub </w:t>
      </w:r>
      <w:hyperlink r:id="rId198" w:tooltip="Gaming Machine Amendment Regulation 2014 (No 1)" w:history="1">
        <w:r>
          <w:rPr>
            <w:rStyle w:val="charCitHyperlinkAbbrev"/>
          </w:rPr>
          <w:t>SL2014</w:t>
        </w:r>
        <w:r>
          <w:rPr>
            <w:rStyle w:val="charCitHyperlinkAbbrev"/>
          </w:rPr>
          <w:noBreakHyphen/>
          <w:t>22</w:t>
        </w:r>
      </w:hyperlink>
      <w:r>
        <w:t xml:space="preserve"> s 9</w:t>
      </w:r>
    </w:p>
    <w:p w:rsidR="003000C6" w:rsidRDefault="003000C6" w:rsidP="003000C6">
      <w:pPr>
        <w:pStyle w:val="AmdtsEntries"/>
      </w:pPr>
      <w:r>
        <w:tab/>
        <w:t xml:space="preserve">def </w:t>
      </w:r>
      <w:r w:rsidRPr="000E481D">
        <w:rPr>
          <w:rStyle w:val="charBoldItals"/>
        </w:rPr>
        <w:t xml:space="preserve">gaming </w:t>
      </w:r>
      <w:r>
        <w:rPr>
          <w:rStyle w:val="charBoldItals"/>
        </w:rPr>
        <w:t xml:space="preserve">machine ticket </w:t>
      </w:r>
      <w:r>
        <w:t xml:space="preserve">om </w:t>
      </w:r>
      <w:hyperlink r:id="rId199" w:tooltip="Gaming Machine Amendment Regulation 2014 (No 1)" w:history="1">
        <w:r>
          <w:rPr>
            <w:rStyle w:val="charCitHyperlinkAbbrev"/>
          </w:rPr>
          <w:t>SL2014</w:t>
        </w:r>
        <w:r>
          <w:rPr>
            <w:rStyle w:val="charCitHyperlinkAbbrev"/>
          </w:rPr>
          <w:noBreakHyphen/>
          <w:t>22</w:t>
        </w:r>
      </w:hyperlink>
      <w:r>
        <w:t xml:space="preserve"> s 9</w:t>
      </w:r>
    </w:p>
    <w:p w:rsidR="00CC113B" w:rsidRDefault="000455FA" w:rsidP="00CC113B">
      <w:pPr>
        <w:pStyle w:val="AmdtsEntries"/>
      </w:pPr>
      <w:r>
        <w:tab/>
      </w:r>
      <w:r w:rsidR="00CC113B">
        <w:t xml:space="preserve">def </w:t>
      </w:r>
      <w:r w:rsidR="003000C6" w:rsidRPr="000E481D">
        <w:rPr>
          <w:rStyle w:val="charBoldItals"/>
        </w:rPr>
        <w:t>player account card</w:t>
      </w:r>
      <w:r w:rsidR="00CC113B">
        <w:rPr>
          <w:rStyle w:val="charBoldItals"/>
        </w:rPr>
        <w:t xml:space="preserve"> </w:t>
      </w:r>
      <w:r w:rsidR="00CC113B">
        <w:t xml:space="preserve">ins </w:t>
      </w:r>
      <w:hyperlink r:id="rId200"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rsidR="00FD1170" w:rsidRPr="00CC113B" w:rsidRDefault="00FD1170" w:rsidP="00FD1170">
      <w:pPr>
        <w:pStyle w:val="AmdtsEntriesDefL2"/>
      </w:pPr>
      <w:r>
        <w:tab/>
        <w:t xml:space="preserve">am </w:t>
      </w:r>
      <w:hyperlink r:id="rId201" w:tooltip="Gaming Legislation Amendment Regulation 2015 (No 1)" w:history="1">
        <w:r>
          <w:rPr>
            <w:rStyle w:val="charCitHyperlinkAbbrev"/>
          </w:rPr>
          <w:t>SL2015</w:t>
        </w:r>
        <w:r>
          <w:rPr>
            <w:rStyle w:val="charCitHyperlinkAbbrev"/>
          </w:rPr>
          <w:noBreakHyphen/>
          <w:t>27</w:t>
        </w:r>
      </w:hyperlink>
      <w:r>
        <w:t xml:space="preserve"> s 39</w:t>
      </w:r>
    </w:p>
    <w:p w:rsidR="00CC113B" w:rsidRPr="00CC113B" w:rsidRDefault="00CC113B" w:rsidP="00CC113B">
      <w:pPr>
        <w:pStyle w:val="AmdtsEntries"/>
      </w:pPr>
      <w:r>
        <w:tab/>
        <w:t xml:space="preserve">def </w:t>
      </w:r>
      <w:r w:rsidR="003000C6" w:rsidRPr="000E481D">
        <w:rPr>
          <w:rStyle w:val="charBoldItals"/>
        </w:rPr>
        <w:t>redeems</w:t>
      </w:r>
      <w:r>
        <w:rPr>
          <w:rStyle w:val="charBoldItals"/>
        </w:rPr>
        <w:t xml:space="preserve"> </w:t>
      </w:r>
      <w:r w:rsidR="003000C6">
        <w:t>sub</w:t>
      </w:r>
      <w:r>
        <w:t xml:space="preserve"> </w:t>
      </w:r>
      <w:hyperlink r:id="rId202" w:tooltip="Gaming Machine Amendment Regulation 2014 (No 1)" w:history="1">
        <w:r>
          <w:rPr>
            <w:rStyle w:val="charCitHyperlinkAbbrev"/>
          </w:rPr>
          <w:t>SL2014</w:t>
        </w:r>
        <w:r>
          <w:rPr>
            <w:rStyle w:val="charCitHyperlinkAbbrev"/>
          </w:rPr>
          <w:noBreakHyphen/>
          <w:t>22</w:t>
        </w:r>
      </w:hyperlink>
      <w:r>
        <w:t xml:space="preserve"> s 9</w:t>
      </w:r>
    </w:p>
    <w:p w:rsidR="00CC113B" w:rsidRPr="00CC113B" w:rsidRDefault="00054744" w:rsidP="00CC113B">
      <w:pPr>
        <w:pStyle w:val="AmdtsEntries"/>
      </w:pPr>
      <w:r>
        <w:t>s 27 (2)</w:t>
      </w:r>
      <w:r w:rsidR="00CC113B">
        <w:tab/>
        <w:t xml:space="preserve">def </w:t>
      </w:r>
      <w:r w:rsidR="003000C6" w:rsidRPr="000E481D">
        <w:rPr>
          <w:rStyle w:val="charBoldItals"/>
        </w:rPr>
        <w:t>player account</w:t>
      </w:r>
      <w:r w:rsidR="00CC113B">
        <w:rPr>
          <w:rStyle w:val="charBoldItals"/>
        </w:rPr>
        <w:t xml:space="preserve"> </w:t>
      </w:r>
      <w:r w:rsidR="00CC113B">
        <w:t xml:space="preserve">ins </w:t>
      </w:r>
      <w:hyperlink r:id="rId203"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rsidR="00FD1170" w:rsidRPr="00CC113B" w:rsidRDefault="00FD1170" w:rsidP="00FD1170">
      <w:pPr>
        <w:pStyle w:val="AmdtsEntriesDefL2"/>
      </w:pPr>
      <w:r>
        <w:tab/>
        <w:t xml:space="preserve">am </w:t>
      </w:r>
      <w:hyperlink r:id="rId204" w:tooltip="Gaming Legislation Amendment Regulation 2015 (No 1)" w:history="1">
        <w:r>
          <w:rPr>
            <w:rStyle w:val="charCitHyperlinkAbbrev"/>
          </w:rPr>
          <w:t>SL2015</w:t>
        </w:r>
        <w:r>
          <w:rPr>
            <w:rStyle w:val="charCitHyperlinkAbbrev"/>
          </w:rPr>
          <w:noBreakHyphen/>
          <w:t>27</w:t>
        </w:r>
      </w:hyperlink>
      <w:r>
        <w:t xml:space="preserve"> s 39</w:t>
      </w:r>
    </w:p>
    <w:p w:rsidR="00CC113B" w:rsidRDefault="00CC113B" w:rsidP="00CC113B">
      <w:pPr>
        <w:pStyle w:val="AmdtsEntries"/>
      </w:pPr>
      <w:r>
        <w:tab/>
        <w:t xml:space="preserve">def </w:t>
      </w:r>
      <w:r w:rsidR="003000C6" w:rsidRPr="000E481D">
        <w:rPr>
          <w:rStyle w:val="charBoldItals"/>
        </w:rPr>
        <w:t>ticket-in</w:t>
      </w:r>
      <w:r w:rsidR="003000C6" w:rsidRPr="000E481D">
        <w:t xml:space="preserve"> </w:t>
      </w:r>
      <w:r w:rsidR="003000C6" w:rsidRPr="000E481D">
        <w:rPr>
          <w:rStyle w:val="charBoldItals"/>
        </w:rPr>
        <w:t>ticket-out system</w:t>
      </w:r>
      <w:r>
        <w:rPr>
          <w:rStyle w:val="charBoldItals"/>
        </w:rPr>
        <w:t xml:space="preserve"> </w:t>
      </w:r>
      <w:r>
        <w:t xml:space="preserve">ins </w:t>
      </w:r>
      <w:hyperlink r:id="rId205" w:tooltip="Gaming Machine Amendment Regulation 2014 (No 1)" w:history="1">
        <w:r>
          <w:rPr>
            <w:rStyle w:val="charCitHyperlinkAbbrev"/>
          </w:rPr>
          <w:t>SL2014</w:t>
        </w:r>
        <w:r>
          <w:rPr>
            <w:rStyle w:val="charCitHyperlinkAbbrev"/>
          </w:rPr>
          <w:noBreakHyphen/>
          <w:t>22</w:t>
        </w:r>
      </w:hyperlink>
      <w:r>
        <w:t xml:space="preserve"> s 9</w:t>
      </w:r>
    </w:p>
    <w:p w:rsidR="003000C6" w:rsidRDefault="003000C6" w:rsidP="003000C6">
      <w:pPr>
        <w:pStyle w:val="AmdtsEntryHd"/>
      </w:pPr>
      <w:r w:rsidRPr="000E481D">
        <w:t>Operating unapproved cashless gaming system</w:t>
      </w:r>
    </w:p>
    <w:p w:rsidR="003000C6" w:rsidRDefault="003000C6" w:rsidP="003000C6">
      <w:pPr>
        <w:pStyle w:val="AmdtsEntries"/>
      </w:pPr>
      <w:r>
        <w:t>s 28</w:t>
      </w:r>
      <w:r>
        <w:tab/>
        <w:t xml:space="preserve">sub </w:t>
      </w:r>
      <w:hyperlink r:id="rId206" w:tooltip="Gaming Machine Amendment Regulation 2014 (No 1)" w:history="1">
        <w:r>
          <w:rPr>
            <w:rStyle w:val="charCitHyperlinkAbbrev"/>
          </w:rPr>
          <w:t>SL2014</w:t>
        </w:r>
        <w:r>
          <w:rPr>
            <w:rStyle w:val="charCitHyperlinkAbbrev"/>
          </w:rPr>
          <w:noBreakHyphen/>
          <w:t>22</w:t>
        </w:r>
      </w:hyperlink>
      <w:r>
        <w:t xml:space="preserve"> s 9</w:t>
      </w:r>
    </w:p>
    <w:p w:rsidR="00FD1170" w:rsidRPr="00836523" w:rsidRDefault="00FD1170" w:rsidP="00FD1170">
      <w:pPr>
        <w:pStyle w:val="AmdtsEntries"/>
      </w:pPr>
      <w:r>
        <w:tab/>
        <w:t xml:space="preserve">am </w:t>
      </w:r>
      <w:hyperlink r:id="rId207" w:tooltip="Gaming Legislation Amendment Regulation 2015 (No 1)" w:history="1">
        <w:r>
          <w:rPr>
            <w:rStyle w:val="charCitHyperlinkAbbrev"/>
          </w:rPr>
          <w:t>SL2015</w:t>
        </w:r>
        <w:r>
          <w:rPr>
            <w:rStyle w:val="charCitHyperlinkAbbrev"/>
          </w:rPr>
          <w:noBreakHyphen/>
          <w:t>27</w:t>
        </w:r>
      </w:hyperlink>
      <w:r>
        <w:t xml:space="preserve"> s 39</w:t>
      </w:r>
    </w:p>
    <w:p w:rsidR="00272EE8" w:rsidRDefault="003000C6" w:rsidP="00272EE8">
      <w:pPr>
        <w:pStyle w:val="AmdtsEntryHd"/>
      </w:pPr>
      <w:r w:rsidRPr="000E481D">
        <w:t>Cashless gaming system operational requirements</w:t>
      </w:r>
    </w:p>
    <w:p w:rsidR="00272EE8" w:rsidRPr="008E60C2" w:rsidRDefault="00272EE8" w:rsidP="00272EE8">
      <w:pPr>
        <w:pStyle w:val="AmdtsEntries"/>
      </w:pPr>
      <w:r>
        <w:t>s 29</w:t>
      </w:r>
      <w:r>
        <w:tab/>
        <w:t xml:space="preserve">am </w:t>
      </w:r>
      <w:hyperlink r:id="rId208" w:tooltip="Gambling and Racing Control (Code of Practice) Amendment Regulation 2014 (No 1)" w:history="1">
        <w:r>
          <w:rPr>
            <w:rStyle w:val="charCitHyperlinkAbbrev"/>
          </w:rPr>
          <w:t>SL2014</w:t>
        </w:r>
        <w:r>
          <w:rPr>
            <w:rStyle w:val="charCitHyperlinkAbbrev"/>
          </w:rPr>
          <w:noBreakHyphen/>
          <w:t>17</w:t>
        </w:r>
      </w:hyperlink>
      <w:r>
        <w:t xml:space="preserve"> s 40</w:t>
      </w:r>
    </w:p>
    <w:p w:rsidR="003000C6" w:rsidRDefault="003000C6" w:rsidP="003000C6">
      <w:pPr>
        <w:pStyle w:val="AmdtsEntries"/>
      </w:pPr>
      <w:r>
        <w:tab/>
        <w:t xml:space="preserve">sub </w:t>
      </w:r>
      <w:hyperlink r:id="rId209" w:tooltip="Gaming Machine Amendment Regulation 2014 (No 1)" w:history="1">
        <w:r>
          <w:rPr>
            <w:rStyle w:val="charCitHyperlinkAbbrev"/>
          </w:rPr>
          <w:t>SL2014</w:t>
        </w:r>
        <w:r>
          <w:rPr>
            <w:rStyle w:val="charCitHyperlinkAbbrev"/>
          </w:rPr>
          <w:noBreakHyphen/>
          <w:t>22</w:t>
        </w:r>
      </w:hyperlink>
      <w:r>
        <w:t xml:space="preserve"> s 9</w:t>
      </w:r>
    </w:p>
    <w:p w:rsidR="003000C6" w:rsidRDefault="003000C6" w:rsidP="003000C6">
      <w:pPr>
        <w:pStyle w:val="AmdtsEntryHd"/>
      </w:pPr>
      <w:r w:rsidRPr="000E481D">
        <w:t>Failure to comply with cashless gaming system operational requirement</w:t>
      </w:r>
    </w:p>
    <w:p w:rsidR="003000C6" w:rsidRDefault="003000C6" w:rsidP="003000C6">
      <w:pPr>
        <w:pStyle w:val="AmdtsEntries"/>
      </w:pPr>
      <w:r>
        <w:t>s 30</w:t>
      </w:r>
      <w:r>
        <w:tab/>
        <w:t xml:space="preserve">sub </w:t>
      </w:r>
      <w:hyperlink r:id="rId210" w:tooltip="Gaming Machine Amendment Regulation 2014 (No 1)" w:history="1">
        <w:r>
          <w:rPr>
            <w:rStyle w:val="charCitHyperlinkAbbrev"/>
          </w:rPr>
          <w:t>SL2014</w:t>
        </w:r>
        <w:r>
          <w:rPr>
            <w:rStyle w:val="charCitHyperlinkAbbrev"/>
          </w:rPr>
          <w:noBreakHyphen/>
          <w:t>22</w:t>
        </w:r>
      </w:hyperlink>
      <w:r>
        <w:t xml:space="preserve"> s 9</w:t>
      </w:r>
    </w:p>
    <w:p w:rsidR="003000C6" w:rsidRDefault="00B801E9" w:rsidP="003000C6">
      <w:pPr>
        <w:pStyle w:val="AmdtsEntryHd"/>
      </w:pPr>
      <w:r w:rsidRPr="000E481D">
        <w:t>Cashless gaming system—offences relating to children</w:t>
      </w:r>
    </w:p>
    <w:p w:rsidR="003000C6" w:rsidRDefault="003000C6" w:rsidP="003000C6">
      <w:pPr>
        <w:pStyle w:val="AmdtsEntries"/>
      </w:pPr>
      <w:r>
        <w:t>s 31</w:t>
      </w:r>
      <w:r>
        <w:tab/>
        <w:t xml:space="preserve">sub </w:t>
      </w:r>
      <w:hyperlink r:id="rId211" w:tooltip="Gaming Machine Amendment Regulation 2014 (No 1)" w:history="1">
        <w:r>
          <w:rPr>
            <w:rStyle w:val="charCitHyperlinkAbbrev"/>
          </w:rPr>
          <w:t>SL2014</w:t>
        </w:r>
        <w:r>
          <w:rPr>
            <w:rStyle w:val="charCitHyperlinkAbbrev"/>
          </w:rPr>
          <w:noBreakHyphen/>
          <w:t>22</w:t>
        </w:r>
      </w:hyperlink>
      <w:r>
        <w:t xml:space="preserve"> s 9</w:t>
      </w:r>
    </w:p>
    <w:p w:rsidR="00FD1170" w:rsidRPr="00836523" w:rsidRDefault="00FD1170" w:rsidP="00FD1170">
      <w:pPr>
        <w:pStyle w:val="AmdtsEntries"/>
      </w:pPr>
      <w:r>
        <w:tab/>
        <w:t xml:space="preserve">am </w:t>
      </w:r>
      <w:hyperlink r:id="rId212" w:tooltip="Gaming Legislation Amendment Regulation 2015 (No 1)" w:history="1">
        <w:r>
          <w:rPr>
            <w:rStyle w:val="charCitHyperlinkAbbrev"/>
          </w:rPr>
          <w:t>SL2015</w:t>
        </w:r>
        <w:r>
          <w:rPr>
            <w:rStyle w:val="charCitHyperlinkAbbrev"/>
          </w:rPr>
          <w:noBreakHyphen/>
          <w:t>27</w:t>
        </w:r>
      </w:hyperlink>
      <w:r>
        <w:t xml:space="preserve"> s 39</w:t>
      </w:r>
    </w:p>
    <w:p w:rsidR="00B801E9" w:rsidRDefault="00B801E9" w:rsidP="00B801E9">
      <w:pPr>
        <w:pStyle w:val="AmdtsEntryHd"/>
      </w:pPr>
      <w:r w:rsidRPr="000E481D">
        <w:lastRenderedPageBreak/>
        <w:t>Cashless gaming systems—control procedures</w:t>
      </w:r>
    </w:p>
    <w:p w:rsidR="00B801E9" w:rsidRDefault="00B801E9" w:rsidP="00B801E9">
      <w:pPr>
        <w:pStyle w:val="AmdtsEntries"/>
      </w:pPr>
      <w:r>
        <w:t>s 32</w:t>
      </w:r>
      <w:r>
        <w:tab/>
        <w:t xml:space="preserve">sub </w:t>
      </w:r>
      <w:hyperlink r:id="rId213" w:tooltip="Gaming Machine Amendment Regulation 2014 (No 1)" w:history="1">
        <w:r>
          <w:rPr>
            <w:rStyle w:val="charCitHyperlinkAbbrev"/>
          </w:rPr>
          <w:t>SL2014</w:t>
        </w:r>
        <w:r>
          <w:rPr>
            <w:rStyle w:val="charCitHyperlinkAbbrev"/>
          </w:rPr>
          <w:noBreakHyphen/>
          <w:t>22</w:t>
        </w:r>
      </w:hyperlink>
      <w:r>
        <w:t xml:space="preserve"> s 9</w:t>
      </w:r>
    </w:p>
    <w:p w:rsidR="009802F5" w:rsidRDefault="009802F5" w:rsidP="00B801E9">
      <w:pPr>
        <w:pStyle w:val="AmdtsEntries"/>
      </w:pPr>
      <w:r>
        <w:tab/>
        <w:t xml:space="preserve">am </w:t>
      </w:r>
      <w:hyperlink r:id="rId214"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107</w:t>
      </w:r>
    </w:p>
    <w:p w:rsidR="00B801E9" w:rsidRDefault="00B801E9" w:rsidP="00B801E9">
      <w:pPr>
        <w:pStyle w:val="AmdtsEntryHd"/>
      </w:pPr>
      <w:r w:rsidRPr="000E481D">
        <w:t>Unredeemed gaming credits—excluded people</w:t>
      </w:r>
    </w:p>
    <w:p w:rsidR="00B801E9" w:rsidRDefault="00B801E9" w:rsidP="00B801E9">
      <w:pPr>
        <w:pStyle w:val="AmdtsEntries"/>
      </w:pPr>
      <w:r>
        <w:t>s 33</w:t>
      </w:r>
      <w:r>
        <w:tab/>
        <w:t xml:space="preserve">sub </w:t>
      </w:r>
      <w:hyperlink r:id="rId215" w:tooltip="Gaming Machine Amendment Regulation 2014 (No 1)" w:history="1">
        <w:r>
          <w:rPr>
            <w:rStyle w:val="charCitHyperlinkAbbrev"/>
          </w:rPr>
          <w:t>SL2014</w:t>
        </w:r>
        <w:r>
          <w:rPr>
            <w:rStyle w:val="charCitHyperlinkAbbrev"/>
          </w:rPr>
          <w:noBreakHyphen/>
          <w:t>22</w:t>
        </w:r>
      </w:hyperlink>
      <w:r>
        <w:t xml:space="preserve"> s 9</w:t>
      </w:r>
    </w:p>
    <w:p w:rsidR="00FD1170" w:rsidRPr="00836523" w:rsidRDefault="00FD1170" w:rsidP="00FD1170">
      <w:pPr>
        <w:pStyle w:val="AmdtsEntries"/>
      </w:pPr>
      <w:r>
        <w:tab/>
        <w:t xml:space="preserve">am </w:t>
      </w:r>
      <w:hyperlink r:id="rId216" w:tooltip="Gaming Legislation Amendment Regulation 2015 (No 1)" w:history="1">
        <w:r>
          <w:rPr>
            <w:rStyle w:val="charCitHyperlinkAbbrev"/>
          </w:rPr>
          <w:t>SL2015</w:t>
        </w:r>
        <w:r>
          <w:rPr>
            <w:rStyle w:val="charCitHyperlinkAbbrev"/>
          </w:rPr>
          <w:noBreakHyphen/>
          <w:t>27</w:t>
        </w:r>
      </w:hyperlink>
      <w:r>
        <w:t xml:space="preserve"> s 39</w:t>
      </w:r>
    </w:p>
    <w:p w:rsidR="00B801E9" w:rsidRDefault="00B801E9" w:rsidP="00B801E9">
      <w:pPr>
        <w:pStyle w:val="AmdtsEntryHd"/>
      </w:pPr>
      <w:r>
        <w:t>Player cards</w:t>
      </w:r>
    </w:p>
    <w:p w:rsidR="00B801E9" w:rsidRPr="001454FC" w:rsidRDefault="00B801E9" w:rsidP="00B801E9">
      <w:pPr>
        <w:pStyle w:val="AmdtsEntries"/>
      </w:pPr>
      <w:r>
        <w:t>pt 7 hdg</w:t>
      </w:r>
      <w:r>
        <w:tab/>
      </w:r>
      <w:r w:rsidR="0051475E">
        <w:t>om</w:t>
      </w:r>
      <w:r>
        <w:t xml:space="preserve"> </w:t>
      </w:r>
      <w:hyperlink r:id="rId217" w:tooltip="Gaming Machine Amendment Regulation 2014 (No 1)" w:history="1">
        <w:r>
          <w:rPr>
            <w:rStyle w:val="charCitHyperlinkAbbrev"/>
          </w:rPr>
          <w:t>SL2014</w:t>
        </w:r>
        <w:r>
          <w:rPr>
            <w:rStyle w:val="charCitHyperlinkAbbrev"/>
          </w:rPr>
          <w:noBreakHyphen/>
          <w:t>22</w:t>
        </w:r>
      </w:hyperlink>
      <w:r>
        <w:t xml:space="preserve"> s 9</w:t>
      </w:r>
    </w:p>
    <w:p w:rsidR="00B801E9" w:rsidRDefault="00B801E9" w:rsidP="00B801E9">
      <w:pPr>
        <w:pStyle w:val="AmdtsEntryHd"/>
      </w:pPr>
      <w:r w:rsidRPr="000E481D">
        <w:t>Unredeemed gaming credits—expiry after 1 year</w:t>
      </w:r>
    </w:p>
    <w:p w:rsidR="00B801E9" w:rsidRDefault="00B801E9" w:rsidP="00B801E9">
      <w:pPr>
        <w:pStyle w:val="AmdtsEntries"/>
      </w:pPr>
      <w:r>
        <w:t>s 34</w:t>
      </w:r>
      <w:r>
        <w:tab/>
        <w:t xml:space="preserve">sub </w:t>
      </w:r>
      <w:hyperlink r:id="rId218" w:tooltip="Gaming Machine Amendment Regulation 2014 (No 1)" w:history="1">
        <w:r>
          <w:rPr>
            <w:rStyle w:val="charCitHyperlinkAbbrev"/>
          </w:rPr>
          <w:t>SL2014</w:t>
        </w:r>
        <w:r>
          <w:rPr>
            <w:rStyle w:val="charCitHyperlinkAbbrev"/>
          </w:rPr>
          <w:noBreakHyphen/>
          <w:t>22</w:t>
        </w:r>
      </w:hyperlink>
      <w:r>
        <w:t xml:space="preserve"> s 9</w:t>
      </w:r>
    </w:p>
    <w:p w:rsidR="00FD1170" w:rsidRPr="00836523" w:rsidRDefault="00FD1170" w:rsidP="00FD1170">
      <w:pPr>
        <w:pStyle w:val="AmdtsEntries"/>
      </w:pPr>
      <w:r>
        <w:tab/>
        <w:t xml:space="preserve">am </w:t>
      </w:r>
      <w:hyperlink r:id="rId219" w:tooltip="Gaming Legislation Amendment Regulation 2015 (No 1)" w:history="1">
        <w:r>
          <w:rPr>
            <w:rStyle w:val="charCitHyperlinkAbbrev"/>
          </w:rPr>
          <w:t>SL2015</w:t>
        </w:r>
        <w:r>
          <w:rPr>
            <w:rStyle w:val="charCitHyperlinkAbbrev"/>
          </w:rPr>
          <w:noBreakHyphen/>
          <w:t>27</w:t>
        </w:r>
      </w:hyperlink>
      <w:r>
        <w:t xml:space="preserve"> s 39</w:t>
      </w:r>
      <w:r w:rsidR="009802F5">
        <w:t xml:space="preserve">; </w:t>
      </w:r>
      <w:hyperlink r:id="rId220"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108, s 109</w:t>
      </w:r>
    </w:p>
    <w:p w:rsidR="00533164" w:rsidRDefault="00533164" w:rsidP="00B801E9">
      <w:pPr>
        <w:pStyle w:val="AmdtsEntries"/>
      </w:pPr>
      <w:r>
        <w:tab/>
        <w:t xml:space="preserve">def </w:t>
      </w:r>
      <w:r w:rsidRPr="00533164">
        <w:rPr>
          <w:rStyle w:val="charBoldItals"/>
        </w:rPr>
        <w:t>player account</w:t>
      </w:r>
      <w:r>
        <w:t xml:space="preserve"> om </w:t>
      </w:r>
      <w:hyperlink r:id="rId221" w:tooltip="Gaming Machine Amendment Regulation 2014 (No 1)" w:history="1">
        <w:r>
          <w:rPr>
            <w:rStyle w:val="charCitHyperlinkAbbrev"/>
          </w:rPr>
          <w:t>SL2014</w:t>
        </w:r>
        <w:r>
          <w:rPr>
            <w:rStyle w:val="charCitHyperlinkAbbrev"/>
          </w:rPr>
          <w:noBreakHyphen/>
          <w:t>22</w:t>
        </w:r>
      </w:hyperlink>
      <w:r>
        <w:t xml:space="preserve"> s 9</w:t>
      </w:r>
    </w:p>
    <w:p w:rsidR="00533164" w:rsidRDefault="00533164" w:rsidP="00533164">
      <w:pPr>
        <w:pStyle w:val="AmdtsEntries"/>
      </w:pPr>
      <w:r>
        <w:tab/>
        <w:t xml:space="preserve">def </w:t>
      </w:r>
      <w:r>
        <w:rPr>
          <w:rStyle w:val="charBoldItals"/>
        </w:rPr>
        <w:t>player card</w:t>
      </w:r>
      <w:r>
        <w:t xml:space="preserve"> om </w:t>
      </w:r>
      <w:hyperlink r:id="rId222" w:tooltip="Gaming Machine Amendment Regulation 2014 (No 1)" w:history="1">
        <w:r>
          <w:rPr>
            <w:rStyle w:val="charCitHyperlinkAbbrev"/>
          </w:rPr>
          <w:t>SL2014</w:t>
        </w:r>
        <w:r>
          <w:rPr>
            <w:rStyle w:val="charCitHyperlinkAbbrev"/>
          </w:rPr>
          <w:noBreakHyphen/>
          <w:t>22</w:t>
        </w:r>
      </w:hyperlink>
      <w:r>
        <w:t xml:space="preserve"> s 9</w:t>
      </w:r>
    </w:p>
    <w:p w:rsidR="00B801E9" w:rsidRDefault="009802F5" w:rsidP="00B801E9">
      <w:pPr>
        <w:pStyle w:val="AmdtsEntryHd"/>
      </w:pPr>
      <w:r w:rsidRPr="009545D2">
        <w:t>Expired gaming credits in annual report of clubs—Act, s 54 (e)</w:t>
      </w:r>
    </w:p>
    <w:p w:rsidR="00B801E9" w:rsidRDefault="00B801E9" w:rsidP="00B801E9">
      <w:pPr>
        <w:pStyle w:val="AmdtsEntries"/>
      </w:pPr>
      <w:r>
        <w:t>s 35</w:t>
      </w:r>
      <w:r>
        <w:tab/>
        <w:t xml:space="preserve">sub </w:t>
      </w:r>
      <w:hyperlink r:id="rId223" w:tooltip="Gaming Machine Amendment Regulation 2014 (No 1)" w:history="1">
        <w:r>
          <w:rPr>
            <w:rStyle w:val="charCitHyperlinkAbbrev"/>
          </w:rPr>
          <w:t>SL2014</w:t>
        </w:r>
        <w:r>
          <w:rPr>
            <w:rStyle w:val="charCitHyperlinkAbbrev"/>
          </w:rPr>
          <w:noBreakHyphen/>
          <w:t>22</w:t>
        </w:r>
      </w:hyperlink>
      <w:r>
        <w:t xml:space="preserve"> s 9</w:t>
      </w:r>
      <w:r w:rsidR="009802F5">
        <w:t xml:space="preserve">; </w:t>
      </w:r>
      <w:hyperlink r:id="rId224"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110</w:t>
      </w:r>
    </w:p>
    <w:p w:rsidR="00B801E9" w:rsidRDefault="00B801E9" w:rsidP="00B801E9">
      <w:pPr>
        <w:pStyle w:val="AmdtsEntryHd"/>
      </w:pPr>
      <w:r w:rsidRPr="000E481D">
        <w:t>Restricted use of player account cards</w:t>
      </w:r>
    </w:p>
    <w:p w:rsidR="00B801E9" w:rsidRDefault="00B801E9" w:rsidP="00B801E9">
      <w:pPr>
        <w:pStyle w:val="AmdtsEntries"/>
      </w:pPr>
      <w:r>
        <w:t>s 36</w:t>
      </w:r>
      <w:r>
        <w:tab/>
        <w:t xml:space="preserve">sub </w:t>
      </w:r>
      <w:hyperlink r:id="rId225" w:tooltip="Gaming Machine Amendment Regulation 2014 (No 1)" w:history="1">
        <w:r>
          <w:rPr>
            <w:rStyle w:val="charCitHyperlinkAbbrev"/>
          </w:rPr>
          <w:t>SL2014</w:t>
        </w:r>
        <w:r>
          <w:rPr>
            <w:rStyle w:val="charCitHyperlinkAbbrev"/>
          </w:rPr>
          <w:noBreakHyphen/>
          <w:t>22</w:t>
        </w:r>
      </w:hyperlink>
      <w:r>
        <w:t xml:space="preserve"> s 9</w:t>
      </w:r>
    </w:p>
    <w:p w:rsidR="00FD1170" w:rsidRPr="00836523" w:rsidRDefault="00FD1170" w:rsidP="00FD1170">
      <w:pPr>
        <w:pStyle w:val="AmdtsEntries"/>
      </w:pPr>
      <w:r>
        <w:tab/>
        <w:t xml:space="preserve">am </w:t>
      </w:r>
      <w:hyperlink r:id="rId226" w:tooltip="Gaming Legislation Amendment Regulation 2015 (No 1)" w:history="1">
        <w:r>
          <w:rPr>
            <w:rStyle w:val="charCitHyperlinkAbbrev"/>
          </w:rPr>
          <w:t>SL2015</w:t>
        </w:r>
        <w:r>
          <w:rPr>
            <w:rStyle w:val="charCitHyperlinkAbbrev"/>
          </w:rPr>
          <w:noBreakHyphen/>
          <w:t>27</w:t>
        </w:r>
      </w:hyperlink>
      <w:r>
        <w:t xml:space="preserve"> s 39</w:t>
      </w:r>
    </w:p>
    <w:p w:rsidR="00B801E9" w:rsidRDefault="00B801E9" w:rsidP="00B801E9">
      <w:pPr>
        <w:pStyle w:val="AmdtsEntryHd"/>
      </w:pPr>
      <w:r w:rsidRPr="000E481D">
        <w:t>Restricted use of player account cards</w:t>
      </w:r>
    </w:p>
    <w:p w:rsidR="00B801E9" w:rsidRDefault="00B801E9" w:rsidP="00B801E9">
      <w:pPr>
        <w:pStyle w:val="AmdtsEntries"/>
      </w:pPr>
      <w:r>
        <w:t>s 37</w:t>
      </w:r>
      <w:r>
        <w:tab/>
        <w:t xml:space="preserve">sub </w:t>
      </w:r>
      <w:hyperlink r:id="rId227" w:tooltip="Gaming Machine Amendment Regulation 2014 (No 1)" w:history="1">
        <w:r>
          <w:rPr>
            <w:rStyle w:val="charCitHyperlinkAbbrev"/>
          </w:rPr>
          <w:t>SL2014</w:t>
        </w:r>
        <w:r>
          <w:rPr>
            <w:rStyle w:val="charCitHyperlinkAbbrev"/>
          </w:rPr>
          <w:noBreakHyphen/>
          <w:t>22</w:t>
        </w:r>
      </w:hyperlink>
      <w:r>
        <w:t xml:space="preserve"> s 9</w:t>
      </w:r>
    </w:p>
    <w:p w:rsidR="00FD1170" w:rsidRPr="007144AF" w:rsidRDefault="00FD1170" w:rsidP="00FD1170">
      <w:pPr>
        <w:pStyle w:val="AmdtsEntries"/>
      </w:pPr>
      <w:r>
        <w:tab/>
        <w:t xml:space="preserve">am </w:t>
      </w:r>
      <w:hyperlink r:id="rId228" w:tooltip="Gaming Legislation Amendment Regulation 2015 (No 1)" w:history="1">
        <w:r>
          <w:rPr>
            <w:rStyle w:val="charCitHyperlinkAbbrev"/>
          </w:rPr>
          <w:t>SL2015</w:t>
        </w:r>
        <w:r>
          <w:rPr>
            <w:rStyle w:val="charCitHyperlinkAbbrev"/>
          </w:rPr>
          <w:noBreakHyphen/>
          <w:t>27</w:t>
        </w:r>
      </w:hyperlink>
      <w:r>
        <w:t xml:space="preserve"> s 39</w:t>
      </w:r>
    </w:p>
    <w:p w:rsidR="00B801E9" w:rsidRDefault="00B801E9" w:rsidP="00B801E9">
      <w:pPr>
        <w:pStyle w:val="AmdtsEntryHd"/>
      </w:pPr>
      <w:r>
        <w:t>Limits on use of player accounts</w:t>
      </w:r>
    </w:p>
    <w:p w:rsidR="00B801E9" w:rsidRDefault="00B801E9" w:rsidP="00B801E9">
      <w:pPr>
        <w:pStyle w:val="AmdtsEntries"/>
      </w:pPr>
      <w:r>
        <w:t>s 38</w:t>
      </w:r>
      <w:r>
        <w:tab/>
        <w:t xml:space="preserve">om </w:t>
      </w:r>
      <w:hyperlink r:id="rId229" w:tooltip="Gaming Machine Amendment Regulation 2014 (No 1)" w:history="1">
        <w:r>
          <w:rPr>
            <w:rStyle w:val="charCitHyperlinkAbbrev"/>
          </w:rPr>
          <w:t>SL2014</w:t>
        </w:r>
        <w:r>
          <w:rPr>
            <w:rStyle w:val="charCitHyperlinkAbbrev"/>
          </w:rPr>
          <w:noBreakHyphen/>
          <w:t>22</w:t>
        </w:r>
      </w:hyperlink>
      <w:r>
        <w:t xml:space="preserve"> s 9</w:t>
      </w:r>
    </w:p>
    <w:p w:rsidR="00C61ED8" w:rsidRDefault="00C61ED8">
      <w:pPr>
        <w:pStyle w:val="AmdtsEntryHd"/>
      </w:pPr>
      <w:r>
        <w:t>Application—div 8.1</w:t>
      </w:r>
    </w:p>
    <w:p w:rsidR="00C61ED8" w:rsidRPr="00C61ED8" w:rsidRDefault="00C61ED8" w:rsidP="00C61ED8">
      <w:pPr>
        <w:pStyle w:val="AmdtsEntries"/>
      </w:pPr>
      <w:r>
        <w:t>s 39</w:t>
      </w:r>
      <w:r>
        <w:tab/>
        <w:t xml:space="preserve">am </w:t>
      </w:r>
      <w:hyperlink r:id="rId230" w:tooltip="Gaming Legislation Amendment Regulation 2015 (No 1)" w:history="1">
        <w:r>
          <w:rPr>
            <w:rStyle w:val="charCitHyperlinkAbbrev"/>
          </w:rPr>
          <w:t>SL2015</w:t>
        </w:r>
        <w:r>
          <w:rPr>
            <w:rStyle w:val="charCitHyperlinkAbbrev"/>
          </w:rPr>
          <w:noBreakHyphen/>
          <w:t>27</w:t>
        </w:r>
      </w:hyperlink>
      <w:r>
        <w:t xml:space="preserve"> s 38</w:t>
      </w:r>
    </w:p>
    <w:p w:rsidR="00970F35" w:rsidRDefault="00970F35">
      <w:pPr>
        <w:pStyle w:val="AmdtsEntryHd"/>
      </w:pPr>
      <w:r>
        <w:t>Definitions—pt 8</w:t>
      </w:r>
    </w:p>
    <w:p w:rsidR="00970F35" w:rsidRPr="00970F35" w:rsidRDefault="00970F35" w:rsidP="00970F35">
      <w:pPr>
        <w:pStyle w:val="AmdtsEntries"/>
      </w:pPr>
      <w:r>
        <w:t>s 40</w:t>
      </w:r>
      <w:r>
        <w:tab/>
        <w:t xml:space="preserve">def </w:t>
      </w:r>
      <w:r w:rsidRPr="00970F35">
        <w:rPr>
          <w:rStyle w:val="charBoldItals"/>
        </w:rPr>
        <w:t>single-user approval</w:t>
      </w:r>
      <w:r>
        <w:t xml:space="preserve"> ins </w:t>
      </w:r>
      <w:hyperlink r:id="rId231" w:tooltip="Gaming Legislation Amendment Regulation 2015 (No 1)" w:history="1">
        <w:r>
          <w:rPr>
            <w:rStyle w:val="charCitHyperlinkAbbrev"/>
          </w:rPr>
          <w:t>SL2015</w:t>
        </w:r>
        <w:r>
          <w:rPr>
            <w:rStyle w:val="charCitHyperlinkAbbrev"/>
          </w:rPr>
          <w:noBreakHyphen/>
          <w:t>27</w:t>
        </w:r>
      </w:hyperlink>
      <w:r>
        <w:t xml:space="preserve"> s 24</w:t>
      </w:r>
    </w:p>
    <w:p w:rsidR="00970F35" w:rsidRPr="00970F35" w:rsidRDefault="00970F35" w:rsidP="00970F35">
      <w:pPr>
        <w:pStyle w:val="AmdtsEntries"/>
      </w:pPr>
      <w:r>
        <w:tab/>
        <w:t xml:space="preserve">def </w:t>
      </w:r>
      <w:r w:rsidRPr="00970F35">
        <w:rPr>
          <w:rStyle w:val="charBoldItals"/>
        </w:rPr>
        <w:t xml:space="preserve">single-user </w:t>
      </w:r>
      <w:r>
        <w:rPr>
          <w:rStyle w:val="charBoldItals"/>
        </w:rPr>
        <w:t>authorisation</w:t>
      </w:r>
      <w:r>
        <w:t xml:space="preserve"> om </w:t>
      </w:r>
      <w:hyperlink r:id="rId232" w:tooltip="Gaming Legislation Amendment Regulation 2015 (No 1)" w:history="1">
        <w:r>
          <w:rPr>
            <w:rStyle w:val="charCitHyperlinkAbbrev"/>
          </w:rPr>
          <w:t>SL2015</w:t>
        </w:r>
        <w:r>
          <w:rPr>
            <w:rStyle w:val="charCitHyperlinkAbbrev"/>
          </w:rPr>
          <w:noBreakHyphen/>
          <w:t>27</w:t>
        </w:r>
      </w:hyperlink>
      <w:r>
        <w:t xml:space="preserve"> s 25</w:t>
      </w:r>
    </w:p>
    <w:p w:rsidR="00C61ED8" w:rsidRDefault="00C61ED8" w:rsidP="00C61ED8">
      <w:pPr>
        <w:pStyle w:val="AmdtsEntryHd"/>
      </w:pPr>
      <w:r>
        <w:t>Percentage of turnover set aside and reset value</w:t>
      </w:r>
    </w:p>
    <w:p w:rsidR="00C61ED8" w:rsidRPr="00C61ED8" w:rsidRDefault="00C61ED8" w:rsidP="00C61ED8">
      <w:pPr>
        <w:pStyle w:val="AmdtsEntries"/>
      </w:pPr>
      <w:r>
        <w:t>s 42</w:t>
      </w:r>
      <w:r>
        <w:tab/>
        <w:t xml:space="preserve">am </w:t>
      </w:r>
      <w:hyperlink r:id="rId233" w:tooltip="Gaming Legislation Amendment Regulation 2015 (No 1)" w:history="1">
        <w:r>
          <w:rPr>
            <w:rStyle w:val="charCitHyperlinkAbbrev"/>
          </w:rPr>
          <w:t>SL2015</w:t>
        </w:r>
        <w:r>
          <w:rPr>
            <w:rStyle w:val="charCitHyperlinkAbbrev"/>
          </w:rPr>
          <w:noBreakHyphen/>
          <w:t>27</w:t>
        </w:r>
      </w:hyperlink>
      <w:r>
        <w:t xml:space="preserve"> s 38</w:t>
      </w:r>
    </w:p>
    <w:p w:rsidR="00836523" w:rsidRDefault="00836523" w:rsidP="00836523">
      <w:pPr>
        <w:pStyle w:val="AmdtsEntryHd"/>
      </w:pPr>
      <w:r>
        <w:t>Linked-jackpot contributions</w:t>
      </w:r>
    </w:p>
    <w:p w:rsidR="00836523" w:rsidRPr="00C61ED8" w:rsidRDefault="00836523" w:rsidP="00836523">
      <w:pPr>
        <w:pStyle w:val="AmdtsEntries"/>
      </w:pPr>
      <w:r>
        <w:t>s 43</w:t>
      </w:r>
      <w:r>
        <w:tab/>
        <w:t xml:space="preserve">am </w:t>
      </w:r>
      <w:hyperlink r:id="rId234" w:tooltip="Gaming Legislation Amendment Regulation 2015 (No 1)" w:history="1">
        <w:r>
          <w:rPr>
            <w:rStyle w:val="charCitHyperlinkAbbrev"/>
          </w:rPr>
          <w:t>SL2015</w:t>
        </w:r>
        <w:r>
          <w:rPr>
            <w:rStyle w:val="charCitHyperlinkAbbrev"/>
          </w:rPr>
          <w:noBreakHyphen/>
          <w:t>27</w:t>
        </w:r>
      </w:hyperlink>
      <w:r>
        <w:t xml:space="preserve"> s 38</w:t>
      </w:r>
      <w:r w:rsidR="008349C7">
        <w:t>, s 40</w:t>
      </w:r>
    </w:p>
    <w:p w:rsidR="008349C7" w:rsidRDefault="008349C7" w:rsidP="00836523">
      <w:pPr>
        <w:pStyle w:val="AmdtsEntryHd"/>
      </w:pPr>
      <w:r>
        <w:t>Electronic polling</w:t>
      </w:r>
    </w:p>
    <w:p w:rsidR="008349C7" w:rsidRPr="008349C7" w:rsidRDefault="008349C7" w:rsidP="008349C7">
      <w:pPr>
        <w:pStyle w:val="AmdtsEntries"/>
      </w:pPr>
      <w:r>
        <w:t>s 44</w:t>
      </w:r>
      <w:r>
        <w:tab/>
        <w:t xml:space="preserve">am </w:t>
      </w:r>
      <w:hyperlink r:id="rId235" w:tooltip="Gaming Legislation Amendment Regulation 2015 (No 1)" w:history="1">
        <w:r>
          <w:rPr>
            <w:rStyle w:val="charCitHyperlinkAbbrev"/>
          </w:rPr>
          <w:t>SL2015</w:t>
        </w:r>
        <w:r>
          <w:rPr>
            <w:rStyle w:val="charCitHyperlinkAbbrev"/>
          </w:rPr>
          <w:noBreakHyphen/>
          <w:t>27</w:t>
        </w:r>
      </w:hyperlink>
      <w:r>
        <w:t xml:space="preserve"> s 40</w:t>
      </w:r>
    </w:p>
    <w:p w:rsidR="00FD1170" w:rsidRDefault="006A589B" w:rsidP="00836523">
      <w:pPr>
        <w:pStyle w:val="AmdtsEntryHd"/>
      </w:pPr>
      <w:r>
        <w:t>Winning linked jackpots</w:t>
      </w:r>
    </w:p>
    <w:p w:rsidR="006A589B" w:rsidRPr="006A589B" w:rsidRDefault="006A589B" w:rsidP="006A589B">
      <w:pPr>
        <w:pStyle w:val="AmdtsEntries"/>
      </w:pPr>
      <w:r>
        <w:t>s 46</w:t>
      </w:r>
      <w:r>
        <w:tab/>
        <w:t xml:space="preserve">am </w:t>
      </w:r>
      <w:hyperlink r:id="rId236" w:tooltip="Gaming Legislation Amendment Regulation 2015 (No 1)" w:history="1">
        <w:r>
          <w:rPr>
            <w:rStyle w:val="charCitHyperlinkAbbrev"/>
          </w:rPr>
          <w:t>SL2015</w:t>
        </w:r>
        <w:r>
          <w:rPr>
            <w:rStyle w:val="charCitHyperlinkAbbrev"/>
          </w:rPr>
          <w:noBreakHyphen/>
          <w:t>27</w:t>
        </w:r>
      </w:hyperlink>
      <w:r>
        <w:t xml:space="preserve"> s 39</w:t>
      </w:r>
      <w:r w:rsidR="009802F5">
        <w:t xml:space="preserve">; </w:t>
      </w:r>
      <w:hyperlink r:id="rId237"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111</w:t>
      </w:r>
    </w:p>
    <w:p w:rsidR="00D87436" w:rsidRDefault="00D87436" w:rsidP="00D87436">
      <w:pPr>
        <w:pStyle w:val="AmdtsEntryHd"/>
      </w:pPr>
      <w:r>
        <w:t xml:space="preserve">Resetting linked </w:t>
      </w:r>
      <w:r w:rsidR="008349C7">
        <w:t xml:space="preserve">gaming </w:t>
      </w:r>
      <w:r>
        <w:t>machines</w:t>
      </w:r>
    </w:p>
    <w:p w:rsidR="008349C7" w:rsidRDefault="008349C7" w:rsidP="00D87436">
      <w:pPr>
        <w:pStyle w:val="AmdtsEntries"/>
      </w:pPr>
      <w:r>
        <w:t>s 47 hdg</w:t>
      </w:r>
      <w:r>
        <w:tab/>
        <w:t xml:space="preserve">am </w:t>
      </w:r>
      <w:hyperlink r:id="rId238" w:tooltip="Gaming Legislation Amendment Regulation 2015 (No 1)" w:history="1">
        <w:r>
          <w:rPr>
            <w:rStyle w:val="charCitHyperlinkAbbrev"/>
          </w:rPr>
          <w:t>SL2015</w:t>
        </w:r>
        <w:r>
          <w:rPr>
            <w:rStyle w:val="charCitHyperlinkAbbrev"/>
          </w:rPr>
          <w:noBreakHyphen/>
          <w:t>27</w:t>
        </w:r>
      </w:hyperlink>
      <w:r>
        <w:t xml:space="preserve"> s 40</w:t>
      </w:r>
    </w:p>
    <w:p w:rsidR="00D87436" w:rsidRPr="00C61ED8" w:rsidRDefault="00D87436" w:rsidP="00D87436">
      <w:pPr>
        <w:pStyle w:val="AmdtsEntries"/>
      </w:pPr>
      <w:r>
        <w:t>s 47</w:t>
      </w:r>
      <w:r>
        <w:tab/>
        <w:t xml:space="preserve">am </w:t>
      </w:r>
      <w:hyperlink r:id="rId239" w:tooltip="Gaming Legislation Amendment Regulation 2015 (No 1)" w:history="1">
        <w:r>
          <w:rPr>
            <w:rStyle w:val="charCitHyperlinkAbbrev"/>
          </w:rPr>
          <w:t>SL2015</w:t>
        </w:r>
        <w:r>
          <w:rPr>
            <w:rStyle w:val="charCitHyperlinkAbbrev"/>
          </w:rPr>
          <w:noBreakHyphen/>
          <w:t>27</w:t>
        </w:r>
      </w:hyperlink>
      <w:r>
        <w:t xml:space="preserve"> s 38</w:t>
      </w:r>
    </w:p>
    <w:p w:rsidR="006A589B" w:rsidRDefault="006A589B" w:rsidP="006A589B">
      <w:pPr>
        <w:pStyle w:val="AmdtsEntryHd"/>
      </w:pPr>
      <w:r>
        <w:lastRenderedPageBreak/>
        <w:t>Meter readings</w:t>
      </w:r>
    </w:p>
    <w:p w:rsidR="006A589B" w:rsidRPr="006A589B" w:rsidRDefault="006A589B" w:rsidP="006A589B">
      <w:pPr>
        <w:pStyle w:val="AmdtsEntries"/>
      </w:pPr>
      <w:r>
        <w:t>s 50</w:t>
      </w:r>
      <w:r>
        <w:tab/>
        <w:t xml:space="preserve">am </w:t>
      </w:r>
      <w:hyperlink r:id="rId240" w:tooltip="Gaming Legislation Amendment Regulation 2015 (No 1)" w:history="1">
        <w:r>
          <w:rPr>
            <w:rStyle w:val="charCitHyperlinkAbbrev"/>
          </w:rPr>
          <w:t>SL2015</w:t>
        </w:r>
        <w:r>
          <w:rPr>
            <w:rStyle w:val="charCitHyperlinkAbbrev"/>
          </w:rPr>
          <w:noBreakHyphen/>
          <w:t>27</w:t>
        </w:r>
      </w:hyperlink>
      <w:r>
        <w:t xml:space="preserve"> s 39</w:t>
      </w:r>
      <w:r w:rsidR="008349C7">
        <w:t>, s 40</w:t>
      </w:r>
    </w:p>
    <w:p w:rsidR="00D87436" w:rsidRDefault="00D87436" w:rsidP="00D87436">
      <w:pPr>
        <w:pStyle w:val="AmdtsEntryHd"/>
      </w:pPr>
      <w:r>
        <w:t>Link equipment in single-user approvals</w:t>
      </w:r>
    </w:p>
    <w:p w:rsidR="00D87436" w:rsidRDefault="00D87436" w:rsidP="00D87436">
      <w:pPr>
        <w:pStyle w:val="AmdtsEntries"/>
      </w:pPr>
      <w:r>
        <w:t>s 51 hdg</w:t>
      </w:r>
      <w:r>
        <w:tab/>
        <w:t xml:space="preserve">am </w:t>
      </w:r>
      <w:hyperlink r:id="rId241" w:tooltip="Gaming Legislation Amendment Regulation 2015 (No 1)" w:history="1">
        <w:r>
          <w:rPr>
            <w:rStyle w:val="charCitHyperlinkAbbrev"/>
          </w:rPr>
          <w:t>SL2015</w:t>
        </w:r>
        <w:r>
          <w:rPr>
            <w:rStyle w:val="charCitHyperlinkAbbrev"/>
          </w:rPr>
          <w:noBreakHyphen/>
          <w:t>27</w:t>
        </w:r>
      </w:hyperlink>
      <w:r>
        <w:t xml:space="preserve"> s 38</w:t>
      </w:r>
    </w:p>
    <w:p w:rsidR="00D87436" w:rsidRPr="00C61ED8" w:rsidRDefault="00D87436" w:rsidP="00D87436">
      <w:pPr>
        <w:pStyle w:val="AmdtsEntries"/>
      </w:pPr>
      <w:r>
        <w:t>s 51</w:t>
      </w:r>
      <w:r>
        <w:tab/>
        <w:t xml:space="preserve">am </w:t>
      </w:r>
      <w:hyperlink r:id="rId242" w:tooltip="Gaming Legislation Amendment Regulation 2015 (No 1)" w:history="1">
        <w:r>
          <w:rPr>
            <w:rStyle w:val="charCitHyperlinkAbbrev"/>
          </w:rPr>
          <w:t>SL2015</w:t>
        </w:r>
        <w:r>
          <w:rPr>
            <w:rStyle w:val="charCitHyperlinkAbbrev"/>
          </w:rPr>
          <w:noBreakHyphen/>
          <w:t>27</w:t>
        </w:r>
      </w:hyperlink>
      <w:r>
        <w:t xml:space="preserve"> s 38, s 39</w:t>
      </w:r>
    </w:p>
    <w:p w:rsidR="006A589B" w:rsidRDefault="006A589B" w:rsidP="006A589B">
      <w:pPr>
        <w:pStyle w:val="AmdtsEntryHd"/>
      </w:pPr>
      <w:r>
        <w:t>Link equipment in single-user authorisations</w:t>
      </w:r>
    </w:p>
    <w:p w:rsidR="006A589B" w:rsidRPr="006A589B" w:rsidRDefault="006A589B" w:rsidP="006A589B">
      <w:pPr>
        <w:pStyle w:val="AmdtsEntries"/>
      </w:pPr>
      <w:r>
        <w:t>s 52</w:t>
      </w:r>
      <w:r>
        <w:tab/>
        <w:t xml:space="preserve">am </w:t>
      </w:r>
      <w:hyperlink r:id="rId243" w:tooltip="Gaming Legislation Amendment Regulation 2015 (No 1)" w:history="1">
        <w:r>
          <w:rPr>
            <w:rStyle w:val="charCitHyperlinkAbbrev"/>
          </w:rPr>
          <w:t>SL2015</w:t>
        </w:r>
        <w:r>
          <w:rPr>
            <w:rStyle w:val="charCitHyperlinkAbbrev"/>
          </w:rPr>
          <w:noBreakHyphen/>
          <w:t>27</w:t>
        </w:r>
      </w:hyperlink>
      <w:r>
        <w:t xml:space="preserve"> s 39</w:t>
      </w:r>
    </w:p>
    <w:p w:rsidR="001959D4" w:rsidRDefault="001959D4">
      <w:pPr>
        <w:pStyle w:val="AmdtsEntryHd"/>
      </w:pPr>
      <w:r>
        <w:t>Definitions—div 8.2</w:t>
      </w:r>
    </w:p>
    <w:p w:rsidR="008349C7" w:rsidRDefault="001959D4" w:rsidP="001959D4">
      <w:pPr>
        <w:pStyle w:val="AmdtsEntries"/>
      </w:pPr>
      <w:r>
        <w:t>s 55</w:t>
      </w:r>
      <w:r>
        <w:tab/>
      </w:r>
      <w:r w:rsidR="008349C7">
        <w:t xml:space="preserve">def </w:t>
      </w:r>
      <w:r w:rsidR="008349C7">
        <w:rPr>
          <w:rStyle w:val="charBoldItals"/>
        </w:rPr>
        <w:t xml:space="preserve">linked-jackpot contribution </w:t>
      </w:r>
      <w:r w:rsidR="008349C7">
        <w:t xml:space="preserve">am </w:t>
      </w:r>
      <w:hyperlink r:id="rId244" w:tooltip="Gaming Legislation Amendment Regulation 2015 (No 1)" w:history="1">
        <w:r w:rsidR="008349C7">
          <w:rPr>
            <w:rStyle w:val="charCitHyperlinkAbbrev"/>
          </w:rPr>
          <w:t>SL2015</w:t>
        </w:r>
        <w:r w:rsidR="008349C7">
          <w:rPr>
            <w:rStyle w:val="charCitHyperlinkAbbrev"/>
          </w:rPr>
          <w:noBreakHyphen/>
          <w:t>27</w:t>
        </w:r>
      </w:hyperlink>
      <w:r w:rsidR="008349C7">
        <w:t xml:space="preserve"> s 40</w:t>
      </w:r>
    </w:p>
    <w:p w:rsidR="001959D4" w:rsidRPr="001959D4" w:rsidRDefault="008349C7" w:rsidP="001959D4">
      <w:pPr>
        <w:pStyle w:val="AmdtsEntries"/>
      </w:pPr>
      <w:r>
        <w:tab/>
      </w:r>
      <w:r w:rsidR="001959D4">
        <w:t xml:space="preserve">def </w:t>
      </w:r>
      <w:r w:rsidR="001959D4">
        <w:rPr>
          <w:rStyle w:val="charBoldItals"/>
        </w:rPr>
        <w:t>linked licence</w:t>
      </w:r>
      <w:r w:rsidR="001959D4">
        <w:t xml:space="preserve"> om </w:t>
      </w:r>
      <w:hyperlink r:id="rId245" w:tooltip="Gaming Legislation Amendment Regulation 2015 (No 1)" w:history="1">
        <w:r w:rsidR="001959D4">
          <w:rPr>
            <w:rStyle w:val="charCitHyperlinkAbbrev"/>
          </w:rPr>
          <w:t>SL2015</w:t>
        </w:r>
        <w:r w:rsidR="001959D4">
          <w:rPr>
            <w:rStyle w:val="charCitHyperlinkAbbrev"/>
          </w:rPr>
          <w:noBreakHyphen/>
          <w:t>27</w:t>
        </w:r>
      </w:hyperlink>
      <w:r w:rsidR="001959D4">
        <w:t xml:space="preserve"> s 26</w:t>
      </w:r>
    </w:p>
    <w:p w:rsidR="008349C7" w:rsidRDefault="008349C7" w:rsidP="008349C7">
      <w:pPr>
        <w:pStyle w:val="AmdtsEntryHd"/>
      </w:pPr>
      <w:r>
        <w:t>Link service fee</w:t>
      </w:r>
    </w:p>
    <w:p w:rsidR="008349C7" w:rsidRPr="006A589B" w:rsidRDefault="008349C7" w:rsidP="008349C7">
      <w:pPr>
        <w:pStyle w:val="AmdtsEntries"/>
      </w:pPr>
      <w:r>
        <w:t>s 57</w:t>
      </w:r>
      <w:r>
        <w:tab/>
        <w:t xml:space="preserve">am </w:t>
      </w:r>
      <w:hyperlink r:id="rId246" w:tooltip="Gaming Legislation Amendment Regulation 2015 (No 1)" w:history="1">
        <w:r>
          <w:rPr>
            <w:rStyle w:val="charCitHyperlinkAbbrev"/>
          </w:rPr>
          <w:t>SL2015</w:t>
        </w:r>
        <w:r>
          <w:rPr>
            <w:rStyle w:val="charCitHyperlinkAbbrev"/>
          </w:rPr>
          <w:noBreakHyphen/>
          <w:t>27</w:t>
        </w:r>
      </w:hyperlink>
      <w:r>
        <w:t xml:space="preserve"> s 40</w:t>
      </w:r>
    </w:p>
    <w:p w:rsidR="0003141D" w:rsidRDefault="0003141D" w:rsidP="0003141D">
      <w:pPr>
        <w:pStyle w:val="AmdtsEntryHd"/>
      </w:pPr>
      <w:r>
        <w:t>Collection of linked-jackpot contributions</w:t>
      </w:r>
    </w:p>
    <w:p w:rsidR="0003141D" w:rsidRPr="006A589B" w:rsidRDefault="0003141D" w:rsidP="0003141D">
      <w:pPr>
        <w:pStyle w:val="AmdtsEntries"/>
      </w:pPr>
      <w:r>
        <w:t>s 60</w:t>
      </w:r>
      <w:r>
        <w:tab/>
        <w:t xml:space="preserve">am </w:t>
      </w:r>
      <w:hyperlink r:id="rId247" w:tooltip="Gaming Legislation Amendment Regulation 2015 (No 1)" w:history="1">
        <w:r>
          <w:rPr>
            <w:rStyle w:val="charCitHyperlinkAbbrev"/>
          </w:rPr>
          <w:t>SL2015</w:t>
        </w:r>
        <w:r>
          <w:rPr>
            <w:rStyle w:val="charCitHyperlinkAbbrev"/>
          </w:rPr>
          <w:noBreakHyphen/>
          <w:t>27</w:t>
        </w:r>
      </w:hyperlink>
      <w:r>
        <w:t xml:space="preserve"> s 40</w:t>
      </w:r>
    </w:p>
    <w:p w:rsidR="00D87436" w:rsidRDefault="00D87436" w:rsidP="00D87436">
      <w:pPr>
        <w:pStyle w:val="AmdtsEntryHd"/>
      </w:pPr>
      <w:r>
        <w:t>Link equipment</w:t>
      </w:r>
    </w:p>
    <w:p w:rsidR="00D87436" w:rsidRPr="006A589B" w:rsidRDefault="00D87436" w:rsidP="00D87436">
      <w:pPr>
        <w:pStyle w:val="AmdtsEntries"/>
      </w:pPr>
      <w:r>
        <w:t>s 61</w:t>
      </w:r>
      <w:r>
        <w:tab/>
        <w:t xml:space="preserve">am </w:t>
      </w:r>
      <w:hyperlink r:id="rId248" w:tooltip="Gaming Legislation Amendment Regulation 2015 (No 1)" w:history="1">
        <w:r>
          <w:rPr>
            <w:rStyle w:val="charCitHyperlinkAbbrev"/>
          </w:rPr>
          <w:t>SL2015</w:t>
        </w:r>
        <w:r>
          <w:rPr>
            <w:rStyle w:val="charCitHyperlinkAbbrev"/>
          </w:rPr>
          <w:noBreakHyphen/>
          <w:t>27</w:t>
        </w:r>
      </w:hyperlink>
      <w:r>
        <w:t xml:space="preserve"> s 39</w:t>
      </w:r>
    </w:p>
    <w:p w:rsidR="001D2FC7" w:rsidRDefault="001D2FC7">
      <w:pPr>
        <w:pStyle w:val="AmdtsEntryHd"/>
      </w:pPr>
      <w:r w:rsidRPr="00CB00E1">
        <w:t>Restrictions on cash facilities—Act, s 178 (2) (c)</w:t>
      </w:r>
    </w:p>
    <w:p w:rsidR="001D2FC7" w:rsidRPr="001D2FC7" w:rsidRDefault="001D2FC7" w:rsidP="001D2FC7">
      <w:pPr>
        <w:pStyle w:val="AmdtsEntries"/>
      </w:pPr>
      <w:r>
        <w:t>pt 8A hdg</w:t>
      </w:r>
      <w:r>
        <w:tab/>
        <w:t xml:space="preserve">ins </w:t>
      </w:r>
      <w:hyperlink r:id="rId249" w:tooltip="Gaming Machine (Cash Facilities) Amendment Act 2017" w:history="1">
        <w:r w:rsidR="0004633D">
          <w:rPr>
            <w:rStyle w:val="charCitHyperlinkAbbrev"/>
          </w:rPr>
          <w:t>A2017</w:t>
        </w:r>
        <w:r w:rsidR="0004633D">
          <w:rPr>
            <w:rStyle w:val="charCitHyperlinkAbbrev"/>
          </w:rPr>
          <w:noBreakHyphen/>
          <w:t>25</w:t>
        </w:r>
      </w:hyperlink>
      <w:r>
        <w:t xml:space="preserve"> s 8</w:t>
      </w:r>
    </w:p>
    <w:p w:rsidR="0004633D" w:rsidRDefault="0004633D" w:rsidP="0004633D">
      <w:pPr>
        <w:pStyle w:val="AmdtsEntryHd"/>
      </w:pPr>
      <w:r w:rsidRPr="00CB00E1">
        <w:t>Limits on EFTPOS facility at authorised premises</w:t>
      </w:r>
    </w:p>
    <w:p w:rsidR="0004633D" w:rsidRPr="001D2FC7" w:rsidRDefault="0004633D" w:rsidP="0004633D">
      <w:pPr>
        <w:pStyle w:val="AmdtsEntries"/>
      </w:pPr>
      <w:r>
        <w:t>s 62A</w:t>
      </w:r>
      <w:r>
        <w:tab/>
        <w:t xml:space="preserve">ins </w:t>
      </w:r>
      <w:hyperlink r:id="rId250" w:tooltip="Gaming Machine (Cash Facilities) Amendment Act 2017" w:history="1">
        <w:r>
          <w:rPr>
            <w:rStyle w:val="charCitHyperlinkAbbrev"/>
          </w:rPr>
          <w:t>A2017</w:t>
        </w:r>
        <w:r>
          <w:rPr>
            <w:rStyle w:val="charCitHyperlinkAbbrev"/>
          </w:rPr>
          <w:noBreakHyphen/>
          <w:t>25</w:t>
        </w:r>
      </w:hyperlink>
      <w:r>
        <w:t xml:space="preserve"> s 8</w:t>
      </w:r>
    </w:p>
    <w:p w:rsidR="009720B3" w:rsidRDefault="009720B3">
      <w:pPr>
        <w:pStyle w:val="AmdtsEntryHd"/>
      </w:pPr>
      <w:r>
        <w:t>Guidelines for approving contributions as charitable and social welfare community contributions—Act, s 164 (2) (a)</w:t>
      </w:r>
    </w:p>
    <w:p w:rsidR="009720B3" w:rsidRDefault="009720B3">
      <w:pPr>
        <w:pStyle w:val="AmdtsEntries"/>
      </w:pPr>
      <w:r>
        <w:t>s 64</w:t>
      </w:r>
      <w:r>
        <w:tab/>
        <w:t xml:space="preserve">am </w:t>
      </w:r>
      <w:hyperlink r:id="rId251" w:tooltip="Gaming Machine Amendment Act 2007 (No 2)" w:history="1">
        <w:r w:rsidR="000812EE" w:rsidRPr="000812EE">
          <w:rPr>
            <w:rStyle w:val="charCitHyperlinkAbbrev"/>
          </w:rPr>
          <w:t>A2007</w:t>
        </w:r>
        <w:r w:rsidR="000812EE" w:rsidRPr="000812EE">
          <w:rPr>
            <w:rStyle w:val="charCitHyperlinkAbbrev"/>
          </w:rPr>
          <w:noBreakHyphen/>
          <w:t>40</w:t>
        </w:r>
      </w:hyperlink>
      <w:r>
        <w:t xml:space="preserve"> amdt 2.1</w:t>
      </w:r>
    </w:p>
    <w:p w:rsidR="009720B3" w:rsidRDefault="009720B3">
      <w:pPr>
        <w:pStyle w:val="AmdtsEntryHd"/>
      </w:pPr>
      <w:r>
        <w:t>Guidelines for approving contributions as problem gambling community contributions—Act, s 164 (2) (a)</w:t>
      </w:r>
    </w:p>
    <w:p w:rsidR="009720B3" w:rsidRDefault="009720B3">
      <w:pPr>
        <w:pStyle w:val="AmdtsEntries"/>
      </w:pPr>
      <w:r>
        <w:t>s 64A</w:t>
      </w:r>
      <w:r>
        <w:tab/>
        <w:t xml:space="preserve">ins </w:t>
      </w:r>
      <w:hyperlink r:id="rId252" w:tooltip="Gaming Machine Amendment Act 2007 (No 2)" w:history="1">
        <w:r w:rsidR="000812EE" w:rsidRPr="000812EE">
          <w:rPr>
            <w:rStyle w:val="charCitHyperlinkAbbrev"/>
          </w:rPr>
          <w:t>A2007</w:t>
        </w:r>
        <w:r w:rsidR="000812EE" w:rsidRPr="000812EE">
          <w:rPr>
            <w:rStyle w:val="charCitHyperlinkAbbrev"/>
          </w:rPr>
          <w:noBreakHyphen/>
          <w:t>40</w:t>
        </w:r>
      </w:hyperlink>
      <w:r>
        <w:t xml:space="preserve"> amdt 2.2</w:t>
      </w:r>
    </w:p>
    <w:p w:rsidR="001959D4" w:rsidRDefault="001959D4" w:rsidP="00627519">
      <w:pPr>
        <w:pStyle w:val="AmdtsEntryHd"/>
      </w:pPr>
      <w:r w:rsidRPr="00AE589E">
        <w:t>Storage of authorisations and gaming machines—permits</w:t>
      </w:r>
    </w:p>
    <w:p w:rsidR="001959D4" w:rsidRDefault="001959D4" w:rsidP="001959D4">
      <w:pPr>
        <w:pStyle w:val="AmdtsEntries"/>
      </w:pPr>
      <w:r>
        <w:t>pt 9A hdg</w:t>
      </w:r>
      <w:r>
        <w:tab/>
        <w:t xml:space="preserve">ins </w:t>
      </w:r>
      <w:hyperlink r:id="rId253" w:tooltip="Gaming Legislation Amendment Regulation 2015 (No 1)" w:history="1">
        <w:r>
          <w:rPr>
            <w:rStyle w:val="charCitHyperlinkAbbrev"/>
          </w:rPr>
          <w:t>SL2015</w:t>
        </w:r>
        <w:r>
          <w:rPr>
            <w:rStyle w:val="charCitHyperlinkAbbrev"/>
          </w:rPr>
          <w:noBreakHyphen/>
          <w:t>27</w:t>
        </w:r>
      </w:hyperlink>
      <w:r>
        <w:t xml:space="preserve"> s 27</w:t>
      </w:r>
    </w:p>
    <w:p w:rsidR="005C2950" w:rsidRDefault="002C0630" w:rsidP="005C2950">
      <w:pPr>
        <w:pStyle w:val="AmdtsEntryHd"/>
      </w:pPr>
      <w:r w:rsidRPr="001847A1">
        <w:t xml:space="preserve">Form of </w:t>
      </w:r>
      <w:r w:rsidR="00F461F1">
        <w:t xml:space="preserve">storage </w:t>
      </w:r>
      <w:r w:rsidRPr="001847A1">
        <w:t>permit—Act, s 127S (e)</w:t>
      </w:r>
    </w:p>
    <w:p w:rsidR="007144AF" w:rsidRDefault="005C2950" w:rsidP="005C2950">
      <w:pPr>
        <w:pStyle w:val="AmdtsEntries"/>
      </w:pPr>
      <w:r>
        <w:t>s 70A</w:t>
      </w:r>
      <w:r w:rsidR="007144AF">
        <w:t xml:space="preserve"> hdg</w:t>
      </w:r>
      <w:r w:rsidR="007144AF">
        <w:tab/>
        <w:t xml:space="preserve">sub </w:t>
      </w:r>
      <w:hyperlink r:id="rId254" w:tooltip="Gaming and Racing (Red Tape Reduction) Legislation Amendment Act 2016" w:history="1">
        <w:r w:rsidR="007144AF">
          <w:rPr>
            <w:rStyle w:val="charCitHyperlinkAbbrev"/>
          </w:rPr>
          <w:t>A2016</w:t>
        </w:r>
        <w:r w:rsidR="007144AF">
          <w:rPr>
            <w:rStyle w:val="charCitHyperlinkAbbrev"/>
          </w:rPr>
          <w:noBreakHyphen/>
          <w:t>45</w:t>
        </w:r>
      </w:hyperlink>
      <w:r w:rsidR="007144AF">
        <w:t xml:space="preserve"> s 31</w:t>
      </w:r>
    </w:p>
    <w:p w:rsidR="00F461F1" w:rsidRDefault="00F461F1" w:rsidP="00F461F1">
      <w:pPr>
        <w:pStyle w:val="AmdtsEntries"/>
      </w:pPr>
      <w:r>
        <w:tab/>
        <w:t xml:space="preserve">am </w:t>
      </w:r>
      <w:hyperlink r:id="rId255"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112</w:t>
      </w:r>
    </w:p>
    <w:p w:rsidR="005C2950" w:rsidRDefault="007144AF" w:rsidP="005C2950">
      <w:pPr>
        <w:pStyle w:val="AmdtsEntries"/>
      </w:pPr>
      <w:r>
        <w:t>s 70A</w:t>
      </w:r>
      <w:r w:rsidR="005C2950">
        <w:tab/>
        <w:t xml:space="preserve">ins </w:t>
      </w:r>
      <w:hyperlink r:id="rId256" w:tooltip="Gaming Legislation Amendment Regulation 2015 (No 1)" w:history="1">
        <w:r w:rsidR="005C2950">
          <w:rPr>
            <w:rStyle w:val="charCitHyperlinkAbbrev"/>
          </w:rPr>
          <w:t>SL2015</w:t>
        </w:r>
        <w:r w:rsidR="005C2950">
          <w:rPr>
            <w:rStyle w:val="charCitHyperlinkAbbrev"/>
          </w:rPr>
          <w:noBreakHyphen/>
          <w:t>27</w:t>
        </w:r>
      </w:hyperlink>
      <w:r w:rsidR="005C2950">
        <w:t xml:space="preserve"> s 27</w:t>
      </w:r>
    </w:p>
    <w:p w:rsidR="009802F5" w:rsidRDefault="009802F5" w:rsidP="005C2950">
      <w:pPr>
        <w:pStyle w:val="AmdtsEntries"/>
      </w:pPr>
      <w:r>
        <w:tab/>
        <w:t xml:space="preserve">am </w:t>
      </w:r>
      <w:hyperlink r:id="rId257"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112</w:t>
      </w:r>
    </w:p>
    <w:p w:rsidR="001959D4" w:rsidRDefault="005C2950" w:rsidP="001959D4">
      <w:pPr>
        <w:pStyle w:val="AmdtsEntryHd"/>
      </w:pPr>
      <w:r w:rsidRPr="00AE589E">
        <w:t>Notifiable actions</w:t>
      </w:r>
    </w:p>
    <w:p w:rsidR="001959D4" w:rsidRDefault="001959D4" w:rsidP="001959D4">
      <w:pPr>
        <w:pStyle w:val="AmdtsEntries"/>
      </w:pPr>
      <w:r>
        <w:t>pt 9B hdg</w:t>
      </w:r>
      <w:r>
        <w:tab/>
        <w:t xml:space="preserve">ins </w:t>
      </w:r>
      <w:hyperlink r:id="rId258" w:tooltip="Gaming Legislation Amendment Regulation 2015 (No 1)" w:history="1">
        <w:r>
          <w:rPr>
            <w:rStyle w:val="charCitHyperlinkAbbrev"/>
          </w:rPr>
          <w:t>SL2015</w:t>
        </w:r>
        <w:r>
          <w:rPr>
            <w:rStyle w:val="charCitHyperlinkAbbrev"/>
          </w:rPr>
          <w:noBreakHyphen/>
          <w:t>27</w:t>
        </w:r>
      </w:hyperlink>
      <w:r>
        <w:t xml:space="preserve"> s 27</w:t>
      </w:r>
    </w:p>
    <w:p w:rsidR="001959D4" w:rsidRDefault="001959D4" w:rsidP="001959D4">
      <w:pPr>
        <w:pStyle w:val="AmdtsEntries"/>
      </w:pPr>
      <w:r>
        <w:tab/>
      </w:r>
      <w:r w:rsidRPr="00901ECB">
        <w:t xml:space="preserve">exp 30 November 2015 </w:t>
      </w:r>
      <w:r w:rsidR="005C2950" w:rsidRPr="00901ECB">
        <w:t>(</w:t>
      </w:r>
      <w:r w:rsidRPr="00901ECB">
        <w:t>s 70B (2)</w:t>
      </w:r>
      <w:r w:rsidR="005C2950" w:rsidRPr="00901ECB">
        <w:t>)</w:t>
      </w:r>
    </w:p>
    <w:p w:rsidR="0056305C" w:rsidRPr="00901ECB" w:rsidRDefault="0056305C" w:rsidP="001959D4">
      <w:pPr>
        <w:pStyle w:val="AmdtsEntries"/>
      </w:pPr>
      <w:r>
        <w:tab/>
        <w:t xml:space="preserve">ins </w:t>
      </w:r>
      <w:hyperlink r:id="rId259" w:tooltip="Gaming Machine Amendment Regulation 2015 (No 2)" w:history="1">
        <w:r>
          <w:rPr>
            <w:rStyle w:val="charCitHyperlinkAbbrev"/>
          </w:rPr>
          <w:t>SL2015</w:t>
        </w:r>
        <w:r>
          <w:rPr>
            <w:rStyle w:val="charCitHyperlinkAbbrev"/>
          </w:rPr>
          <w:noBreakHyphen/>
          <w:t>40</w:t>
        </w:r>
      </w:hyperlink>
      <w:r>
        <w:t xml:space="preserve"> s 4</w:t>
      </w:r>
    </w:p>
    <w:p w:rsidR="005C2950" w:rsidRDefault="005C2950" w:rsidP="005C2950">
      <w:pPr>
        <w:pStyle w:val="AmdtsEntryHd"/>
      </w:pPr>
      <w:r w:rsidRPr="00AE589E">
        <w:lastRenderedPageBreak/>
        <w:t>Prescribed number of days—Act, s 173D (5)</w:t>
      </w:r>
    </w:p>
    <w:p w:rsidR="005C2950" w:rsidRDefault="005C2950" w:rsidP="00A81404">
      <w:pPr>
        <w:pStyle w:val="AmdtsEntries"/>
        <w:keepNext/>
      </w:pPr>
      <w:r>
        <w:t>s 70B</w:t>
      </w:r>
      <w:r>
        <w:tab/>
        <w:t xml:space="preserve">ins </w:t>
      </w:r>
      <w:hyperlink r:id="rId260" w:tooltip="Gaming Legislation Amendment Regulation 2015 (No 1)" w:history="1">
        <w:r>
          <w:rPr>
            <w:rStyle w:val="charCitHyperlinkAbbrev"/>
          </w:rPr>
          <w:t>SL2015</w:t>
        </w:r>
        <w:r>
          <w:rPr>
            <w:rStyle w:val="charCitHyperlinkAbbrev"/>
          </w:rPr>
          <w:noBreakHyphen/>
          <w:t>27</w:t>
        </w:r>
      </w:hyperlink>
      <w:r>
        <w:t xml:space="preserve"> s 27</w:t>
      </w:r>
    </w:p>
    <w:p w:rsidR="005C2950" w:rsidRPr="00901ECB" w:rsidRDefault="005C2950" w:rsidP="00A81404">
      <w:pPr>
        <w:pStyle w:val="AmdtsEntries"/>
        <w:keepNext/>
      </w:pPr>
      <w:r>
        <w:tab/>
      </w:r>
      <w:r w:rsidRPr="00901ECB">
        <w:t>exp 30 November 2015 (s 70B (2))</w:t>
      </w:r>
    </w:p>
    <w:p w:rsidR="0056305C" w:rsidRPr="00901ECB" w:rsidRDefault="0056305C" w:rsidP="0056305C">
      <w:pPr>
        <w:pStyle w:val="AmdtsEntries"/>
      </w:pPr>
      <w:r>
        <w:tab/>
        <w:t xml:space="preserve">ins </w:t>
      </w:r>
      <w:hyperlink r:id="rId261" w:tooltip="Gaming Machine Amendment Regulation 2015 (No 2)" w:history="1">
        <w:r>
          <w:rPr>
            <w:rStyle w:val="charCitHyperlinkAbbrev"/>
          </w:rPr>
          <w:t>SL2015</w:t>
        </w:r>
        <w:r>
          <w:rPr>
            <w:rStyle w:val="charCitHyperlinkAbbrev"/>
          </w:rPr>
          <w:noBreakHyphen/>
          <w:t>40</w:t>
        </w:r>
      </w:hyperlink>
      <w:r>
        <w:t xml:space="preserve"> s 4</w:t>
      </w:r>
    </w:p>
    <w:p w:rsidR="005C2950" w:rsidRDefault="005C2950" w:rsidP="00627519">
      <w:pPr>
        <w:pStyle w:val="AmdtsEntryHd"/>
      </w:pPr>
      <w:r>
        <w:t>Times licensee must not operate gaming machines—Act, s 8 (3)</w:t>
      </w:r>
    </w:p>
    <w:p w:rsidR="005C2950" w:rsidRPr="005C2950" w:rsidRDefault="005C2950" w:rsidP="005C2950">
      <w:pPr>
        <w:pStyle w:val="AmdtsEntries"/>
      </w:pPr>
      <w:r>
        <w:t>s 71</w:t>
      </w:r>
      <w:r>
        <w:tab/>
        <w:t xml:space="preserve">om </w:t>
      </w:r>
      <w:hyperlink r:id="rId262" w:tooltip="Gaming Legislation Amendment Regulation 2015 (No 1)" w:history="1">
        <w:r>
          <w:rPr>
            <w:rStyle w:val="charCitHyperlinkAbbrev"/>
          </w:rPr>
          <w:t>SL2015</w:t>
        </w:r>
        <w:r>
          <w:rPr>
            <w:rStyle w:val="charCitHyperlinkAbbrev"/>
          </w:rPr>
          <w:noBreakHyphen/>
          <w:t>27</w:t>
        </w:r>
      </w:hyperlink>
      <w:r>
        <w:t xml:space="preserve"> s 28</w:t>
      </w:r>
    </w:p>
    <w:p w:rsidR="00627519" w:rsidRDefault="00627519" w:rsidP="00627519">
      <w:pPr>
        <w:pStyle w:val="AmdtsEntryHd"/>
      </w:pPr>
      <w:r w:rsidRPr="000B0ACF">
        <w:t>Contractual arrangements and consultancies in annu</w:t>
      </w:r>
      <w:r w:rsidR="00B305D1">
        <w:t>al report of clubs—Act, s</w:t>
      </w:r>
      <w:r w:rsidR="00C5725D">
        <w:t> </w:t>
      </w:r>
      <w:r w:rsidR="00B305D1">
        <w:t>54 (b</w:t>
      </w:r>
      <w:r w:rsidRPr="000B0ACF">
        <w:t>)</w:t>
      </w:r>
    </w:p>
    <w:p w:rsidR="00627519" w:rsidRDefault="00627519" w:rsidP="00A81B0A">
      <w:pPr>
        <w:pStyle w:val="AmdtsEntries"/>
        <w:keepNext/>
      </w:pPr>
      <w:r>
        <w:t>s 73 hdg</w:t>
      </w:r>
      <w:r>
        <w:tab/>
        <w:t xml:space="preserve">sub </w:t>
      </w:r>
      <w:hyperlink r:id="rId263" w:tooltip="Gaming Machine (Club Governance) Amendment Act 2011" w:history="1">
        <w:r w:rsidR="000812EE" w:rsidRPr="000812EE">
          <w:rPr>
            <w:rStyle w:val="charCitHyperlinkAbbrev"/>
          </w:rPr>
          <w:t>A2011</w:t>
        </w:r>
        <w:r w:rsidR="000812EE" w:rsidRPr="000812EE">
          <w:rPr>
            <w:rStyle w:val="charCitHyperlinkAbbrev"/>
          </w:rPr>
          <w:noBreakHyphen/>
          <w:t>24</w:t>
        </w:r>
      </w:hyperlink>
      <w:r>
        <w:t xml:space="preserve"> s 28</w:t>
      </w:r>
    </w:p>
    <w:p w:rsidR="002B3A5B" w:rsidRDefault="00663D66" w:rsidP="00627519">
      <w:pPr>
        <w:pStyle w:val="AmdtsEntries"/>
      </w:pPr>
      <w:r>
        <w:t>s 73</w:t>
      </w:r>
      <w:r w:rsidR="002B3A5B">
        <w:tab/>
        <w:t xml:space="preserve">am </w:t>
      </w:r>
      <w:hyperlink r:id="rId264" w:tooltip="Gaming Machine Amendment Regulation 2014 (No 1)" w:history="1">
        <w:r w:rsidR="002B3A5B">
          <w:rPr>
            <w:rStyle w:val="charCitHyperlinkAbbrev"/>
          </w:rPr>
          <w:t>SL2014</w:t>
        </w:r>
        <w:r w:rsidR="002B3A5B">
          <w:rPr>
            <w:rStyle w:val="charCitHyperlinkAbbrev"/>
          </w:rPr>
          <w:noBreakHyphen/>
          <w:t>22</w:t>
        </w:r>
      </w:hyperlink>
      <w:r w:rsidR="002B3A5B">
        <w:t xml:space="preserve"> s 10</w:t>
      </w:r>
    </w:p>
    <w:p w:rsidR="002B3A5B" w:rsidRDefault="002B3A5B" w:rsidP="001C0B89">
      <w:pPr>
        <w:pStyle w:val="AmdtsEntryHd"/>
      </w:pPr>
      <w:r>
        <w:t>Remuneration in annual report of clubs—Act, s 54 (c)</w:t>
      </w:r>
    </w:p>
    <w:p w:rsidR="002B3A5B" w:rsidRPr="002B3A5B" w:rsidRDefault="002B3A5B" w:rsidP="002B3A5B">
      <w:pPr>
        <w:pStyle w:val="AmdtsEntries"/>
      </w:pPr>
      <w:r>
        <w:t>s 74</w:t>
      </w:r>
      <w:r>
        <w:tab/>
        <w:t xml:space="preserve">am </w:t>
      </w:r>
      <w:hyperlink r:id="rId265" w:tooltip="Gaming Machine Amendment Regulation 2014 (No 1)" w:history="1">
        <w:r>
          <w:rPr>
            <w:rStyle w:val="charCitHyperlinkAbbrev"/>
          </w:rPr>
          <w:t>SL2014</w:t>
        </w:r>
        <w:r>
          <w:rPr>
            <w:rStyle w:val="charCitHyperlinkAbbrev"/>
          </w:rPr>
          <w:noBreakHyphen/>
          <w:t>22</w:t>
        </w:r>
      </w:hyperlink>
      <w:r>
        <w:t xml:space="preserve"> s 11</w:t>
      </w:r>
    </w:p>
    <w:p w:rsidR="009E7EAC" w:rsidRDefault="009E7EAC" w:rsidP="009E7EAC">
      <w:pPr>
        <w:pStyle w:val="AmdtsEntryHd"/>
      </w:pPr>
      <w:r>
        <w:t>Offence to operate high-denomination note acceptor—Act, s 178 (2) (a)</w:t>
      </w:r>
    </w:p>
    <w:p w:rsidR="00C2405E" w:rsidRPr="002B3A5B" w:rsidRDefault="009E7EAC" w:rsidP="009E7EAC">
      <w:pPr>
        <w:pStyle w:val="AmdtsEntries"/>
      </w:pPr>
      <w:r>
        <w:t>s 75</w:t>
      </w:r>
      <w:r>
        <w:tab/>
        <w:t xml:space="preserve">sub </w:t>
      </w:r>
      <w:hyperlink r:id="rId266" w:tooltip="Gaming Machine Amendment Regulation 2014 (No 2)" w:history="1">
        <w:r>
          <w:rPr>
            <w:rStyle w:val="charCitHyperlinkAbbrev"/>
          </w:rPr>
          <w:t>SL2014</w:t>
        </w:r>
        <w:r>
          <w:rPr>
            <w:rStyle w:val="charCitHyperlinkAbbrev"/>
          </w:rPr>
          <w:noBreakHyphen/>
          <w:t>37</w:t>
        </w:r>
      </w:hyperlink>
      <w:r>
        <w:t xml:space="preserve"> s 4</w:t>
      </w:r>
      <w:r w:rsidR="00C2405E">
        <w:t xml:space="preserve">; </w:t>
      </w:r>
      <w:hyperlink r:id="rId267" w:tooltip="Gaming Machine Amendment Regulation 2015 (No 1)" w:history="1">
        <w:r w:rsidR="00C2405E">
          <w:rPr>
            <w:rStyle w:val="charCitHyperlinkAbbrev"/>
          </w:rPr>
          <w:t>SL2015</w:t>
        </w:r>
        <w:r w:rsidR="00C2405E">
          <w:rPr>
            <w:rStyle w:val="charCitHyperlinkAbbrev"/>
          </w:rPr>
          <w:noBreakHyphen/>
          <w:t>1</w:t>
        </w:r>
      </w:hyperlink>
      <w:r w:rsidR="00C2405E">
        <w:t xml:space="preserve"> s 4</w:t>
      </w:r>
    </w:p>
    <w:p w:rsidR="0003141D" w:rsidRDefault="0003141D" w:rsidP="0003141D">
      <w:pPr>
        <w:pStyle w:val="AmdtsEntryHd"/>
      </w:pPr>
      <w:r>
        <w:t>Minimum payout of gaming machine—Act, s 178 (2) (b)</w:t>
      </w:r>
    </w:p>
    <w:p w:rsidR="0003141D" w:rsidRPr="006A589B" w:rsidRDefault="0003141D" w:rsidP="0003141D">
      <w:pPr>
        <w:pStyle w:val="AmdtsEntries"/>
      </w:pPr>
      <w:r>
        <w:t>s 76</w:t>
      </w:r>
      <w:r>
        <w:tab/>
        <w:t xml:space="preserve">am </w:t>
      </w:r>
      <w:hyperlink r:id="rId268" w:tooltip="Gaming Legislation Amendment Regulation 2015 (No 1)" w:history="1">
        <w:r>
          <w:rPr>
            <w:rStyle w:val="charCitHyperlinkAbbrev"/>
          </w:rPr>
          <w:t>SL2015</w:t>
        </w:r>
        <w:r>
          <w:rPr>
            <w:rStyle w:val="charCitHyperlinkAbbrev"/>
          </w:rPr>
          <w:noBreakHyphen/>
          <w:t>27</w:t>
        </w:r>
      </w:hyperlink>
      <w:r>
        <w:t xml:space="preserve"> s 40</w:t>
      </w:r>
    </w:p>
    <w:p w:rsidR="005C2950" w:rsidRDefault="005C2950" w:rsidP="005C2950">
      <w:pPr>
        <w:pStyle w:val="AmdtsEntryHd"/>
      </w:pPr>
      <w:r w:rsidRPr="00AE589E">
        <w:t>Transitional—Gaming Legislation Amendment Regulation 2015 (No </w:t>
      </w:r>
      <w:r w:rsidR="00B91150">
        <w:t>1</w:t>
      </w:r>
      <w:r w:rsidRPr="00AE589E">
        <w:t>)</w:t>
      </w:r>
    </w:p>
    <w:p w:rsidR="005C2950" w:rsidRDefault="005C2950" w:rsidP="005C2950">
      <w:pPr>
        <w:pStyle w:val="AmdtsEntries"/>
      </w:pPr>
      <w:r>
        <w:t>pt 15 hdg</w:t>
      </w:r>
      <w:r>
        <w:tab/>
        <w:t xml:space="preserve">ins </w:t>
      </w:r>
      <w:hyperlink r:id="rId269" w:tooltip="Gaming Legislation Amendment Regulation 2015 (No 1)" w:history="1">
        <w:r>
          <w:rPr>
            <w:rStyle w:val="charCitHyperlinkAbbrev"/>
          </w:rPr>
          <w:t>SL2015</w:t>
        </w:r>
        <w:r>
          <w:rPr>
            <w:rStyle w:val="charCitHyperlinkAbbrev"/>
          </w:rPr>
          <w:noBreakHyphen/>
          <w:t>27</w:t>
        </w:r>
      </w:hyperlink>
      <w:r>
        <w:t xml:space="preserve"> s 29</w:t>
      </w:r>
    </w:p>
    <w:p w:rsidR="007144AF" w:rsidRDefault="007144AF" w:rsidP="005C2950">
      <w:pPr>
        <w:pStyle w:val="AmdtsEntries"/>
      </w:pPr>
      <w:r>
        <w:tab/>
        <w:t xml:space="preserve">om </w:t>
      </w:r>
      <w:hyperlink r:id="rId270" w:tooltip="Gaming and Racing (Red Tape Reduction) Legislation Amendment Act 2016" w:history="1">
        <w:r>
          <w:rPr>
            <w:rStyle w:val="charCitHyperlinkAbbrev"/>
          </w:rPr>
          <w:t>A2016</w:t>
        </w:r>
        <w:r>
          <w:rPr>
            <w:rStyle w:val="charCitHyperlinkAbbrev"/>
          </w:rPr>
          <w:noBreakHyphen/>
          <w:t>45</w:t>
        </w:r>
      </w:hyperlink>
      <w:r>
        <w:t xml:space="preserve"> s 32</w:t>
      </w:r>
    </w:p>
    <w:p w:rsidR="005C2950" w:rsidRDefault="005C2950" w:rsidP="005C2950">
      <w:pPr>
        <w:pStyle w:val="AmdtsEntryHd"/>
      </w:pPr>
      <w:r w:rsidRPr="00AE589E">
        <w:t>Modification of Act, pt 20—Act, s 310 (2)</w:t>
      </w:r>
    </w:p>
    <w:p w:rsidR="005C2950" w:rsidRDefault="005C2950" w:rsidP="00F921DC">
      <w:pPr>
        <w:pStyle w:val="AmdtsEntries"/>
        <w:keepNext/>
      </w:pPr>
      <w:r>
        <w:t>s 200</w:t>
      </w:r>
      <w:r>
        <w:tab/>
        <w:t xml:space="preserve">ins </w:t>
      </w:r>
      <w:hyperlink r:id="rId271" w:tooltip="Gaming Legislation Amendment Regulation 2015 (No 1)" w:history="1">
        <w:r>
          <w:rPr>
            <w:rStyle w:val="charCitHyperlinkAbbrev"/>
          </w:rPr>
          <w:t>SL2015</w:t>
        </w:r>
        <w:r>
          <w:rPr>
            <w:rStyle w:val="charCitHyperlinkAbbrev"/>
          </w:rPr>
          <w:noBreakHyphen/>
          <w:t>27</w:t>
        </w:r>
      </w:hyperlink>
      <w:r>
        <w:t xml:space="preserve"> s 29</w:t>
      </w:r>
    </w:p>
    <w:p w:rsidR="007144AF" w:rsidRPr="001959D4" w:rsidRDefault="007144AF" w:rsidP="007144AF">
      <w:pPr>
        <w:pStyle w:val="AmdtsEntries"/>
        <w:rPr>
          <w:rStyle w:val="charUnderline"/>
        </w:rPr>
      </w:pPr>
      <w:r>
        <w:tab/>
        <w:t xml:space="preserve">om </w:t>
      </w:r>
      <w:hyperlink r:id="rId272" w:tooltip="Gaming and Racing (Red Tape Reduction) Legislation Amendment Act 2016" w:history="1">
        <w:r>
          <w:rPr>
            <w:rStyle w:val="charCitHyperlinkAbbrev"/>
          </w:rPr>
          <w:t>A2016</w:t>
        </w:r>
        <w:r>
          <w:rPr>
            <w:rStyle w:val="charCitHyperlinkAbbrev"/>
          </w:rPr>
          <w:noBreakHyphen/>
          <w:t>45</w:t>
        </w:r>
      </w:hyperlink>
      <w:r>
        <w:t xml:space="preserve"> s 32</w:t>
      </w:r>
    </w:p>
    <w:p w:rsidR="006A2ED2" w:rsidRDefault="006A2ED2" w:rsidP="006A2ED2">
      <w:pPr>
        <w:pStyle w:val="AmdtsEntryHd"/>
      </w:pPr>
      <w:r w:rsidRPr="00AE589E">
        <w:t>Modification of Act</w:t>
      </w:r>
    </w:p>
    <w:p w:rsidR="006A2ED2" w:rsidRDefault="006A2ED2" w:rsidP="006A2ED2">
      <w:pPr>
        <w:pStyle w:val="AmdtsEntries"/>
      </w:pPr>
      <w:r>
        <w:t>sch 1</w:t>
      </w:r>
      <w:r>
        <w:tab/>
        <w:t xml:space="preserve">ins </w:t>
      </w:r>
      <w:hyperlink r:id="rId273" w:tooltip="Gaming Legislation Amendment Regulation 2015 (No 1)" w:history="1">
        <w:r>
          <w:rPr>
            <w:rStyle w:val="charCitHyperlinkAbbrev"/>
          </w:rPr>
          <w:t>SL2015</w:t>
        </w:r>
        <w:r>
          <w:rPr>
            <w:rStyle w:val="charCitHyperlinkAbbrev"/>
          </w:rPr>
          <w:noBreakHyphen/>
          <w:t>27</w:t>
        </w:r>
      </w:hyperlink>
      <w:r>
        <w:t xml:space="preserve"> s 30</w:t>
      </w:r>
    </w:p>
    <w:p w:rsidR="007144AF" w:rsidRPr="001959D4" w:rsidRDefault="007144AF" w:rsidP="007144AF">
      <w:pPr>
        <w:pStyle w:val="AmdtsEntries"/>
        <w:rPr>
          <w:rStyle w:val="charUnderline"/>
        </w:rPr>
      </w:pPr>
      <w:r>
        <w:tab/>
        <w:t xml:space="preserve">om </w:t>
      </w:r>
      <w:hyperlink r:id="rId274" w:tooltip="Gaming and Racing (Red Tape Reduction) Legislation Amendment Act 2016" w:history="1">
        <w:r>
          <w:rPr>
            <w:rStyle w:val="charCitHyperlinkAbbrev"/>
          </w:rPr>
          <w:t>A2016</w:t>
        </w:r>
        <w:r>
          <w:rPr>
            <w:rStyle w:val="charCitHyperlinkAbbrev"/>
          </w:rPr>
          <w:noBreakHyphen/>
          <w:t>45</w:t>
        </w:r>
      </w:hyperlink>
      <w:r>
        <w:t xml:space="preserve"> s 33</w:t>
      </w:r>
    </w:p>
    <w:p w:rsidR="001C0B89" w:rsidRDefault="001C0B89" w:rsidP="001C0B89">
      <w:pPr>
        <w:pStyle w:val="AmdtsEntryHd"/>
      </w:pPr>
      <w:r>
        <w:t>Dictionary</w:t>
      </w:r>
    </w:p>
    <w:p w:rsidR="001C0B89" w:rsidRDefault="001C0B89" w:rsidP="001C0B89">
      <w:pPr>
        <w:pStyle w:val="AmdtsEntries"/>
      </w:pPr>
      <w:r>
        <w:t>dict</w:t>
      </w:r>
      <w:r>
        <w:tab/>
        <w:t xml:space="preserve">am </w:t>
      </w:r>
      <w:hyperlink r:id="rId275"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53</w:t>
      </w:r>
      <w:r w:rsidR="006A2ED2">
        <w:t xml:space="preserve">; </w:t>
      </w:r>
      <w:hyperlink r:id="rId276" w:tooltip="Gaming Legislation Amendment Regulation 2015 (No 1)" w:history="1">
        <w:r w:rsidR="006A2ED2">
          <w:rPr>
            <w:rStyle w:val="charCitHyperlinkAbbrev"/>
          </w:rPr>
          <w:t>SL2015</w:t>
        </w:r>
        <w:r w:rsidR="006A2ED2">
          <w:rPr>
            <w:rStyle w:val="charCitHyperlinkAbbrev"/>
          </w:rPr>
          <w:noBreakHyphen/>
          <w:t>27</w:t>
        </w:r>
      </w:hyperlink>
      <w:r w:rsidR="006A2ED2">
        <w:t xml:space="preserve"> s 31</w:t>
      </w:r>
      <w:r w:rsidR="00D319C5">
        <w:t xml:space="preserve">; </w:t>
      </w:r>
      <w:hyperlink r:id="rId277" w:tooltip="Red Tape Reduction Legislation Amendment Act 2015" w:history="1">
        <w:r w:rsidR="00D319C5">
          <w:rPr>
            <w:rStyle w:val="charCitHyperlinkAbbrev"/>
          </w:rPr>
          <w:t>A2015</w:t>
        </w:r>
        <w:r w:rsidR="00D319C5">
          <w:rPr>
            <w:rStyle w:val="charCitHyperlinkAbbrev"/>
          </w:rPr>
          <w:noBreakHyphen/>
          <w:t>33</w:t>
        </w:r>
      </w:hyperlink>
      <w:r w:rsidR="00D319C5">
        <w:t xml:space="preserve"> amdt 1.100</w:t>
      </w:r>
      <w:r w:rsidR="007144AF">
        <w:t xml:space="preserve">; </w:t>
      </w:r>
      <w:hyperlink r:id="rId278" w:tooltip="Gaming and Racing (Red Tape Reduction) Legislation Amendment Act 2016" w:history="1">
        <w:r w:rsidR="007144AF">
          <w:rPr>
            <w:rStyle w:val="charCitHyperlinkAbbrev"/>
          </w:rPr>
          <w:t>A2016</w:t>
        </w:r>
        <w:r w:rsidR="007144AF">
          <w:rPr>
            <w:rStyle w:val="charCitHyperlinkAbbrev"/>
          </w:rPr>
          <w:noBreakHyphen/>
          <w:t>45</w:t>
        </w:r>
      </w:hyperlink>
      <w:r w:rsidR="002C0630">
        <w:t xml:space="preserve"> s 34</w:t>
      </w:r>
      <w:r w:rsidR="0004633D">
        <w:t xml:space="preserve">; </w:t>
      </w:r>
      <w:hyperlink r:id="rId279" w:tooltip="Gaming Machine (Cash Facilities) Amendment Act 2017" w:history="1">
        <w:r w:rsidR="0004633D">
          <w:rPr>
            <w:rStyle w:val="charCitHyperlinkAbbrev"/>
          </w:rPr>
          <w:t>A2017</w:t>
        </w:r>
        <w:r w:rsidR="0004633D">
          <w:rPr>
            <w:rStyle w:val="charCitHyperlinkAbbrev"/>
          </w:rPr>
          <w:noBreakHyphen/>
          <w:t>25</w:t>
        </w:r>
      </w:hyperlink>
      <w:r w:rsidR="0004633D">
        <w:t xml:space="preserve"> s 9</w:t>
      </w:r>
    </w:p>
    <w:p w:rsidR="002B3A5B" w:rsidRPr="002B3A5B" w:rsidRDefault="002B3A5B" w:rsidP="001C0B89">
      <w:pPr>
        <w:pStyle w:val="AmdtsEntries"/>
      </w:pPr>
      <w:r>
        <w:tab/>
        <w:t xml:space="preserve">def </w:t>
      </w:r>
      <w:r w:rsidRPr="000E481D">
        <w:rPr>
          <w:rStyle w:val="charBoldItals"/>
        </w:rPr>
        <w:t>cashless gaming card</w:t>
      </w:r>
      <w:r>
        <w:rPr>
          <w:rStyle w:val="charBoldItals"/>
        </w:rPr>
        <w:t xml:space="preserve"> </w:t>
      </w:r>
      <w:r>
        <w:t xml:space="preserve">ins </w:t>
      </w:r>
      <w:hyperlink r:id="rId280" w:tooltip="Gaming Machine Amendment Regulation 2014 (No 1)" w:history="1">
        <w:r>
          <w:rPr>
            <w:rStyle w:val="charCitHyperlinkAbbrev"/>
          </w:rPr>
          <w:t>SL2014</w:t>
        </w:r>
        <w:r>
          <w:rPr>
            <w:rStyle w:val="charCitHyperlinkAbbrev"/>
          </w:rPr>
          <w:noBreakHyphen/>
          <w:t>22</w:t>
        </w:r>
      </w:hyperlink>
      <w:r>
        <w:t xml:space="preserve"> s 12</w:t>
      </w:r>
    </w:p>
    <w:p w:rsidR="00F0038F" w:rsidRDefault="00F0038F" w:rsidP="00F0038F">
      <w:pPr>
        <w:pStyle w:val="AmdtsEntries"/>
      </w:pPr>
      <w:r>
        <w:tab/>
        <w:t xml:space="preserve">def </w:t>
      </w:r>
      <w:r w:rsidRPr="000E481D">
        <w:rPr>
          <w:rStyle w:val="charBoldItals"/>
        </w:rPr>
        <w:t xml:space="preserve">cashless gaming </w:t>
      </w:r>
      <w:r>
        <w:rPr>
          <w:rStyle w:val="charBoldItals"/>
        </w:rPr>
        <w:t xml:space="preserve">system </w:t>
      </w:r>
      <w:r>
        <w:t xml:space="preserve">ins </w:t>
      </w:r>
      <w:hyperlink r:id="rId281" w:tooltip="Gaming Machine Amendment Regulation 2014 (No 1)" w:history="1">
        <w:r>
          <w:rPr>
            <w:rStyle w:val="charCitHyperlinkAbbrev"/>
          </w:rPr>
          <w:t>SL2014</w:t>
        </w:r>
        <w:r>
          <w:rPr>
            <w:rStyle w:val="charCitHyperlinkAbbrev"/>
          </w:rPr>
          <w:noBreakHyphen/>
          <w:t>22</w:t>
        </w:r>
      </w:hyperlink>
      <w:r>
        <w:t xml:space="preserve"> s 12</w:t>
      </w:r>
    </w:p>
    <w:p w:rsidR="00A81B0A" w:rsidRDefault="00A81B0A" w:rsidP="00A81B0A">
      <w:pPr>
        <w:pStyle w:val="AmdtsEntries"/>
      </w:pPr>
      <w:r>
        <w:tab/>
        <w:t xml:space="preserve">def </w:t>
      </w:r>
      <w:r>
        <w:rPr>
          <w:rStyle w:val="charBoldItals"/>
        </w:rPr>
        <w:t>conducted electronically</w:t>
      </w:r>
      <w:r>
        <w:t xml:space="preserve"> ins </w:t>
      </w:r>
      <w:hyperlink r:id="rId282" w:tooltip="Gaming Machine (Ballots) Amendment Regulation 2016 (No 1)" w:history="1">
        <w:r>
          <w:rPr>
            <w:rStyle w:val="charCitHyperlinkAbbrev"/>
          </w:rPr>
          <w:t>SL2016</w:t>
        </w:r>
        <w:r>
          <w:rPr>
            <w:rStyle w:val="charCitHyperlinkAbbrev"/>
          </w:rPr>
          <w:noBreakHyphen/>
          <w:t>11</w:t>
        </w:r>
      </w:hyperlink>
      <w:r>
        <w:t xml:space="preserve"> s 10</w:t>
      </w:r>
    </w:p>
    <w:p w:rsidR="006A2ED2" w:rsidRDefault="006A2ED2" w:rsidP="005B6E18">
      <w:pPr>
        <w:pStyle w:val="AmdtsEntries"/>
        <w:keepNext/>
      </w:pPr>
      <w:r>
        <w:tab/>
        <w:t xml:space="preserve">def </w:t>
      </w:r>
      <w:r w:rsidRPr="006A2ED2">
        <w:rPr>
          <w:rStyle w:val="charBoldItals"/>
        </w:rPr>
        <w:t>expired gaming credits</w:t>
      </w:r>
      <w:r>
        <w:t xml:space="preserve"> ins </w:t>
      </w:r>
      <w:hyperlink r:id="rId283" w:tooltip="Gaming Legislation Amendment Regulation 2015 (No 1)" w:history="1">
        <w:r>
          <w:rPr>
            <w:rStyle w:val="charCitHyperlinkAbbrev"/>
          </w:rPr>
          <w:t>SL2015</w:t>
        </w:r>
        <w:r>
          <w:rPr>
            <w:rStyle w:val="charCitHyperlinkAbbrev"/>
          </w:rPr>
          <w:noBreakHyphen/>
          <w:t>27</w:t>
        </w:r>
      </w:hyperlink>
      <w:r>
        <w:t xml:space="preserve"> s 32</w:t>
      </w:r>
    </w:p>
    <w:p w:rsidR="00F0038F" w:rsidRPr="002B3A5B" w:rsidRDefault="00F0038F" w:rsidP="005B6E18">
      <w:pPr>
        <w:pStyle w:val="AmdtsEntries"/>
        <w:keepNext/>
      </w:pPr>
      <w:r>
        <w:tab/>
        <w:t xml:space="preserve">def </w:t>
      </w:r>
      <w:r>
        <w:rPr>
          <w:rStyle w:val="charBoldItals"/>
        </w:rPr>
        <w:t xml:space="preserve">gaming credits </w:t>
      </w:r>
      <w:r>
        <w:t xml:space="preserve">sub </w:t>
      </w:r>
      <w:hyperlink r:id="rId284" w:tooltip="Gaming Machine Amendment Regulation 2014 (No 1)" w:history="1">
        <w:r>
          <w:rPr>
            <w:rStyle w:val="charCitHyperlinkAbbrev"/>
          </w:rPr>
          <w:t>SL2014</w:t>
        </w:r>
        <w:r>
          <w:rPr>
            <w:rStyle w:val="charCitHyperlinkAbbrev"/>
          </w:rPr>
          <w:noBreakHyphen/>
          <w:t>22</w:t>
        </w:r>
      </w:hyperlink>
      <w:r>
        <w:t xml:space="preserve"> s 13</w:t>
      </w:r>
    </w:p>
    <w:p w:rsidR="00F0038F" w:rsidRPr="002B3A5B" w:rsidRDefault="00F0038F" w:rsidP="00F0038F">
      <w:pPr>
        <w:pStyle w:val="AmdtsEntries"/>
      </w:pPr>
      <w:r>
        <w:tab/>
        <w:t xml:space="preserve">def </w:t>
      </w:r>
      <w:r>
        <w:rPr>
          <w:rStyle w:val="charBoldItals"/>
        </w:rPr>
        <w:t xml:space="preserve">gaming machine ticket </w:t>
      </w:r>
      <w:r>
        <w:t xml:space="preserve">om </w:t>
      </w:r>
      <w:hyperlink r:id="rId285" w:tooltip="Gaming Machine Amendment Regulation 2014 (No 1)" w:history="1">
        <w:r>
          <w:rPr>
            <w:rStyle w:val="charCitHyperlinkAbbrev"/>
          </w:rPr>
          <w:t>SL2014</w:t>
        </w:r>
        <w:r>
          <w:rPr>
            <w:rStyle w:val="charCitHyperlinkAbbrev"/>
          </w:rPr>
          <w:noBreakHyphen/>
          <w:t>22</w:t>
        </w:r>
      </w:hyperlink>
      <w:r>
        <w:t xml:space="preserve"> s 14</w:t>
      </w:r>
    </w:p>
    <w:p w:rsidR="001C0B89" w:rsidRDefault="001C0B89" w:rsidP="001C0B89">
      <w:pPr>
        <w:pStyle w:val="AmdtsEntries"/>
      </w:pPr>
      <w:r>
        <w:tab/>
        <w:t xml:space="preserve">def </w:t>
      </w:r>
      <w:r w:rsidRPr="00A01D89">
        <w:rPr>
          <w:rStyle w:val="charBoldItals"/>
        </w:rPr>
        <w:t>gaming machine proposal</w:t>
      </w:r>
      <w:r>
        <w:rPr>
          <w:rStyle w:val="charBoldItals"/>
        </w:rPr>
        <w:t xml:space="preserve"> </w:t>
      </w:r>
      <w:r>
        <w:t xml:space="preserve">sub </w:t>
      </w:r>
      <w:hyperlink r:id="rId286"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54</w:t>
      </w:r>
      <w:r w:rsidR="006A2ED2">
        <w:t xml:space="preserve">; </w:t>
      </w:r>
      <w:hyperlink r:id="rId287" w:tooltip="Gaming Legislation Amendment Regulation 2015 (No 1)" w:history="1">
        <w:r w:rsidR="006A2ED2">
          <w:rPr>
            <w:rStyle w:val="charCitHyperlinkAbbrev"/>
          </w:rPr>
          <w:t>SL2015</w:t>
        </w:r>
        <w:r w:rsidR="006A2ED2">
          <w:rPr>
            <w:rStyle w:val="charCitHyperlinkAbbrev"/>
          </w:rPr>
          <w:noBreakHyphen/>
          <w:t>27</w:t>
        </w:r>
      </w:hyperlink>
      <w:r w:rsidR="006A2ED2">
        <w:t xml:space="preserve"> s 33</w:t>
      </w:r>
    </w:p>
    <w:p w:rsidR="00A81B0A" w:rsidRPr="00CC113B" w:rsidRDefault="00A81B0A" w:rsidP="00A81B0A">
      <w:pPr>
        <w:pStyle w:val="AmdtsEntries"/>
      </w:pPr>
      <w:r>
        <w:tab/>
        <w:t xml:space="preserve">def </w:t>
      </w:r>
      <w:r>
        <w:rPr>
          <w:rStyle w:val="charBoldItals"/>
        </w:rPr>
        <w:t>independent ballot service provider</w:t>
      </w:r>
      <w:r>
        <w:t xml:space="preserve"> ins </w:t>
      </w:r>
      <w:hyperlink r:id="rId288" w:tooltip="Gaming Machine (Ballots) Amendment Regulation 2016 (No 1)" w:history="1">
        <w:r>
          <w:rPr>
            <w:rStyle w:val="charCitHyperlinkAbbrev"/>
          </w:rPr>
          <w:t>SL2016</w:t>
        </w:r>
        <w:r>
          <w:rPr>
            <w:rStyle w:val="charCitHyperlinkAbbrev"/>
          </w:rPr>
          <w:noBreakHyphen/>
          <w:t>11</w:t>
        </w:r>
      </w:hyperlink>
      <w:r>
        <w:t xml:space="preserve"> s 10</w:t>
      </w:r>
    </w:p>
    <w:p w:rsidR="006A2ED2" w:rsidRDefault="006A2ED2" w:rsidP="00533164">
      <w:pPr>
        <w:pStyle w:val="AmdtsEntries"/>
        <w:keepNext/>
      </w:pPr>
      <w:r>
        <w:tab/>
        <w:t xml:space="preserve">def </w:t>
      </w:r>
      <w:r w:rsidRPr="006A2ED2">
        <w:rPr>
          <w:rStyle w:val="charBoldItals"/>
        </w:rPr>
        <w:t>linked licence</w:t>
      </w:r>
      <w:r>
        <w:t xml:space="preserve"> om </w:t>
      </w:r>
      <w:hyperlink r:id="rId289" w:tooltip="Gaming Legislation Amendment Regulation 2015 (No 1)" w:history="1">
        <w:r>
          <w:rPr>
            <w:rStyle w:val="charCitHyperlinkAbbrev"/>
          </w:rPr>
          <w:t>SL2015</w:t>
        </w:r>
        <w:r>
          <w:rPr>
            <w:rStyle w:val="charCitHyperlinkAbbrev"/>
          </w:rPr>
          <w:noBreakHyphen/>
          <w:t>27</w:t>
        </w:r>
      </w:hyperlink>
      <w:r>
        <w:t xml:space="preserve"> s 34</w:t>
      </w:r>
    </w:p>
    <w:p w:rsidR="001C0B89" w:rsidRDefault="001C0B89" w:rsidP="00533164">
      <w:pPr>
        <w:pStyle w:val="AmdtsEntries"/>
        <w:keepNext/>
      </w:pPr>
      <w:r>
        <w:tab/>
        <w:t xml:space="preserve">def </w:t>
      </w:r>
      <w:r w:rsidRPr="00A01D89">
        <w:rPr>
          <w:rStyle w:val="charBoldItals"/>
        </w:rPr>
        <w:t>local community</w:t>
      </w:r>
      <w:r>
        <w:rPr>
          <w:rStyle w:val="charBoldItals"/>
        </w:rPr>
        <w:t xml:space="preserve"> </w:t>
      </w:r>
      <w:r>
        <w:t xml:space="preserve">sub </w:t>
      </w:r>
      <w:hyperlink r:id="rId290"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54</w:t>
      </w:r>
      <w:r w:rsidR="00B83830">
        <w:t xml:space="preserve">; </w:t>
      </w:r>
      <w:hyperlink r:id="rId291" w:tooltip="Gaming Legislation Amendment Regulation 2015 (No 1)" w:history="1">
        <w:r w:rsidR="00B83830">
          <w:rPr>
            <w:rStyle w:val="charCitHyperlinkAbbrev"/>
          </w:rPr>
          <w:t>SL2015</w:t>
        </w:r>
        <w:r w:rsidR="00B83830">
          <w:rPr>
            <w:rStyle w:val="charCitHyperlinkAbbrev"/>
          </w:rPr>
          <w:noBreakHyphen/>
          <w:t>27</w:t>
        </w:r>
      </w:hyperlink>
      <w:r w:rsidR="00B83830">
        <w:t xml:space="preserve"> s 35</w:t>
      </w:r>
    </w:p>
    <w:p w:rsidR="002C0630" w:rsidRDefault="002C0630" w:rsidP="00A81B0A">
      <w:pPr>
        <w:pStyle w:val="AmdtsEntries"/>
      </w:pPr>
      <w:r>
        <w:tab/>
        <w:t xml:space="preserve">def </w:t>
      </w:r>
      <w:r w:rsidRPr="001847A1">
        <w:rPr>
          <w:rStyle w:val="charBoldItals"/>
        </w:rPr>
        <w:t>patron</w:t>
      </w:r>
      <w:r>
        <w:t xml:space="preserve"> sub </w:t>
      </w:r>
      <w:hyperlink r:id="rId292" w:tooltip="Gaming and Racing (Red Tape Reduction) Legislation Amendment Act 2016" w:history="1">
        <w:r>
          <w:rPr>
            <w:rStyle w:val="charCitHyperlinkAbbrev"/>
          </w:rPr>
          <w:t>A2016</w:t>
        </w:r>
        <w:r>
          <w:rPr>
            <w:rStyle w:val="charCitHyperlinkAbbrev"/>
          </w:rPr>
          <w:noBreakHyphen/>
          <w:t>45</w:t>
        </w:r>
      </w:hyperlink>
      <w:r>
        <w:t xml:space="preserve"> s 35</w:t>
      </w:r>
    </w:p>
    <w:p w:rsidR="00A81B0A" w:rsidRDefault="00A81B0A" w:rsidP="00A81B0A">
      <w:pPr>
        <w:pStyle w:val="AmdtsEntries"/>
      </w:pPr>
      <w:r>
        <w:tab/>
        <w:t xml:space="preserve">def </w:t>
      </w:r>
      <w:r>
        <w:rPr>
          <w:rStyle w:val="charBoldItals"/>
        </w:rPr>
        <w:t>person conducting a ballot</w:t>
      </w:r>
      <w:r>
        <w:t xml:space="preserve"> ins </w:t>
      </w:r>
      <w:hyperlink r:id="rId293" w:tooltip="Gaming Machine (Ballots) Amendment Regulation 2016 (No 1)" w:history="1">
        <w:r>
          <w:rPr>
            <w:rStyle w:val="charCitHyperlinkAbbrev"/>
          </w:rPr>
          <w:t>SL2016</w:t>
        </w:r>
        <w:r>
          <w:rPr>
            <w:rStyle w:val="charCitHyperlinkAbbrev"/>
          </w:rPr>
          <w:noBreakHyphen/>
          <w:t>11</w:t>
        </w:r>
      </w:hyperlink>
      <w:r>
        <w:t xml:space="preserve"> s 10</w:t>
      </w:r>
    </w:p>
    <w:p w:rsidR="00005F31" w:rsidRPr="002B3A5B" w:rsidRDefault="00005F31" w:rsidP="00005F31">
      <w:pPr>
        <w:pStyle w:val="AmdtsEntries"/>
        <w:keepNext/>
      </w:pPr>
      <w:r>
        <w:lastRenderedPageBreak/>
        <w:tab/>
        <w:t xml:space="preserve">def </w:t>
      </w:r>
      <w:r>
        <w:rPr>
          <w:rStyle w:val="charBoldItals"/>
        </w:rPr>
        <w:t xml:space="preserve">player account </w:t>
      </w:r>
      <w:r>
        <w:t xml:space="preserve">om </w:t>
      </w:r>
      <w:hyperlink r:id="rId294" w:tooltip="Gaming Machine Amendment Regulation 2014 (No 1)" w:history="1">
        <w:r>
          <w:rPr>
            <w:rStyle w:val="charCitHyperlinkAbbrev"/>
          </w:rPr>
          <w:t>SL2014</w:t>
        </w:r>
        <w:r>
          <w:rPr>
            <w:rStyle w:val="charCitHyperlinkAbbrev"/>
          </w:rPr>
          <w:noBreakHyphen/>
          <w:t>22</w:t>
        </w:r>
      </w:hyperlink>
      <w:r>
        <w:t xml:space="preserve"> s 14</w:t>
      </w:r>
    </w:p>
    <w:p w:rsidR="00F0038F" w:rsidRPr="002B3A5B" w:rsidRDefault="00F0038F" w:rsidP="00533164">
      <w:pPr>
        <w:pStyle w:val="AmdtsEntries"/>
        <w:keepNext/>
      </w:pPr>
      <w:r>
        <w:tab/>
        <w:t xml:space="preserve">def </w:t>
      </w:r>
      <w:r>
        <w:rPr>
          <w:rStyle w:val="charBoldItals"/>
        </w:rPr>
        <w:t xml:space="preserve">player account card </w:t>
      </w:r>
      <w:r>
        <w:t xml:space="preserve">ins </w:t>
      </w:r>
      <w:hyperlink r:id="rId295" w:tooltip="Gaming Machine Amendment Regulation 2014 (No 1)" w:history="1">
        <w:r>
          <w:rPr>
            <w:rStyle w:val="charCitHyperlinkAbbrev"/>
          </w:rPr>
          <w:t>SL2014</w:t>
        </w:r>
        <w:r>
          <w:rPr>
            <w:rStyle w:val="charCitHyperlinkAbbrev"/>
          </w:rPr>
          <w:noBreakHyphen/>
          <w:t>22</w:t>
        </w:r>
      </w:hyperlink>
      <w:r>
        <w:t xml:space="preserve"> s 15</w:t>
      </w:r>
    </w:p>
    <w:p w:rsidR="00F0038F" w:rsidRPr="002B3A5B" w:rsidRDefault="00F0038F" w:rsidP="00533164">
      <w:pPr>
        <w:pStyle w:val="AmdtsEntries"/>
        <w:keepNext/>
      </w:pPr>
      <w:r>
        <w:tab/>
        <w:t xml:space="preserve">def </w:t>
      </w:r>
      <w:r>
        <w:rPr>
          <w:rStyle w:val="charBoldItals"/>
        </w:rPr>
        <w:t xml:space="preserve">player card </w:t>
      </w:r>
      <w:r>
        <w:t xml:space="preserve">om </w:t>
      </w:r>
      <w:hyperlink r:id="rId296" w:tooltip="Gaming Machine Amendment Regulation 2014 (No 1)" w:history="1">
        <w:r>
          <w:rPr>
            <w:rStyle w:val="charCitHyperlinkAbbrev"/>
          </w:rPr>
          <w:t>SL2014</w:t>
        </w:r>
        <w:r>
          <w:rPr>
            <w:rStyle w:val="charCitHyperlinkAbbrev"/>
          </w:rPr>
          <w:noBreakHyphen/>
          <w:t>22</w:t>
        </w:r>
      </w:hyperlink>
      <w:r>
        <w:t xml:space="preserve"> s 16</w:t>
      </w:r>
    </w:p>
    <w:p w:rsidR="00F0038F" w:rsidRDefault="00F0038F" w:rsidP="00F0038F">
      <w:pPr>
        <w:pStyle w:val="AmdtsEntries"/>
      </w:pPr>
      <w:r>
        <w:tab/>
        <w:t xml:space="preserve">def </w:t>
      </w:r>
      <w:r>
        <w:rPr>
          <w:rStyle w:val="charBoldItals"/>
        </w:rPr>
        <w:t xml:space="preserve">redeems </w:t>
      </w:r>
      <w:r>
        <w:t xml:space="preserve">sub </w:t>
      </w:r>
      <w:hyperlink r:id="rId297" w:tooltip="Gaming Machine Amendment Regulation 2014 (No 1)" w:history="1">
        <w:r>
          <w:rPr>
            <w:rStyle w:val="charCitHyperlinkAbbrev"/>
          </w:rPr>
          <w:t>SL2014</w:t>
        </w:r>
        <w:r>
          <w:rPr>
            <w:rStyle w:val="charCitHyperlinkAbbrev"/>
          </w:rPr>
          <w:noBreakHyphen/>
          <w:t>22</w:t>
        </w:r>
      </w:hyperlink>
      <w:r>
        <w:t xml:space="preserve"> s 17</w:t>
      </w:r>
    </w:p>
    <w:p w:rsidR="00B83830" w:rsidRDefault="00B83830" w:rsidP="00B83830">
      <w:pPr>
        <w:pStyle w:val="AmdtsEntries"/>
        <w:keepNext/>
      </w:pPr>
      <w:r>
        <w:tab/>
        <w:t xml:space="preserve">def </w:t>
      </w:r>
      <w:r>
        <w:rPr>
          <w:rStyle w:val="charBoldItals"/>
        </w:rPr>
        <w:t>relevant gaming machine application</w:t>
      </w:r>
      <w:r>
        <w:t xml:space="preserve"> ins </w:t>
      </w:r>
      <w:hyperlink r:id="rId298" w:tooltip="Gaming Legislation Amendment Regulation 2015 (No 1)" w:history="1">
        <w:r>
          <w:rPr>
            <w:rStyle w:val="charCitHyperlinkAbbrev"/>
          </w:rPr>
          <w:t>SL2015</w:t>
        </w:r>
        <w:r>
          <w:rPr>
            <w:rStyle w:val="charCitHyperlinkAbbrev"/>
          </w:rPr>
          <w:noBreakHyphen/>
          <w:t>27</w:t>
        </w:r>
      </w:hyperlink>
      <w:r>
        <w:t xml:space="preserve"> s 36</w:t>
      </w:r>
    </w:p>
    <w:p w:rsidR="00B83830" w:rsidRDefault="00B83830" w:rsidP="00B83830">
      <w:pPr>
        <w:pStyle w:val="AmdtsEntries"/>
        <w:keepNext/>
      </w:pPr>
      <w:r>
        <w:tab/>
        <w:t xml:space="preserve">def </w:t>
      </w:r>
      <w:r>
        <w:rPr>
          <w:rStyle w:val="charBoldItals"/>
        </w:rPr>
        <w:t>single-user approval</w:t>
      </w:r>
      <w:r>
        <w:t xml:space="preserve"> ins </w:t>
      </w:r>
      <w:hyperlink r:id="rId299" w:tooltip="Gaming Legislation Amendment Regulation 2015 (No 1)" w:history="1">
        <w:r>
          <w:rPr>
            <w:rStyle w:val="charCitHyperlinkAbbrev"/>
          </w:rPr>
          <w:t>SL2015</w:t>
        </w:r>
        <w:r>
          <w:rPr>
            <w:rStyle w:val="charCitHyperlinkAbbrev"/>
          </w:rPr>
          <w:noBreakHyphen/>
          <w:t>27</w:t>
        </w:r>
      </w:hyperlink>
      <w:r>
        <w:t xml:space="preserve"> s 36</w:t>
      </w:r>
    </w:p>
    <w:p w:rsidR="00B83830" w:rsidRDefault="00B83830" w:rsidP="00B83830">
      <w:pPr>
        <w:pStyle w:val="AmdtsEntries"/>
        <w:keepNext/>
      </w:pPr>
      <w:r>
        <w:tab/>
        <w:t xml:space="preserve">def </w:t>
      </w:r>
      <w:r>
        <w:rPr>
          <w:rStyle w:val="charBoldItals"/>
        </w:rPr>
        <w:t>single-user authorisation</w:t>
      </w:r>
      <w:r>
        <w:t xml:space="preserve"> </w:t>
      </w:r>
      <w:r w:rsidR="002E3A23">
        <w:t>om</w:t>
      </w:r>
      <w:r>
        <w:t xml:space="preserve"> </w:t>
      </w:r>
      <w:hyperlink r:id="rId300" w:tooltip="Gaming Legislation Amendment Regulation 2015 (No 1)" w:history="1">
        <w:r>
          <w:rPr>
            <w:rStyle w:val="charCitHyperlinkAbbrev"/>
          </w:rPr>
          <w:t>SL2015</w:t>
        </w:r>
        <w:r>
          <w:rPr>
            <w:rStyle w:val="charCitHyperlinkAbbrev"/>
          </w:rPr>
          <w:noBreakHyphen/>
          <w:t>27</w:t>
        </w:r>
      </w:hyperlink>
      <w:r>
        <w:t xml:space="preserve"> s 37</w:t>
      </w:r>
    </w:p>
    <w:p w:rsidR="00A81B0A" w:rsidRDefault="00A81B0A" w:rsidP="00A81B0A">
      <w:pPr>
        <w:pStyle w:val="AmdtsEntries"/>
      </w:pPr>
      <w:r>
        <w:tab/>
        <w:t xml:space="preserve">def </w:t>
      </w:r>
      <w:r>
        <w:rPr>
          <w:rStyle w:val="charBoldItals"/>
        </w:rPr>
        <w:t>voting document</w:t>
      </w:r>
      <w:r>
        <w:t xml:space="preserve"> ins </w:t>
      </w:r>
      <w:hyperlink r:id="rId301" w:tooltip="Gaming Machine (Ballots) Amendment Regulation 2016 (No 1)" w:history="1">
        <w:r>
          <w:rPr>
            <w:rStyle w:val="charCitHyperlinkAbbrev"/>
          </w:rPr>
          <w:t>SL2016</w:t>
        </w:r>
        <w:r>
          <w:rPr>
            <w:rStyle w:val="charCitHyperlinkAbbrev"/>
          </w:rPr>
          <w:noBreakHyphen/>
          <w:t>11</w:t>
        </w:r>
      </w:hyperlink>
      <w:r>
        <w:t xml:space="preserve"> s 10</w:t>
      </w:r>
    </w:p>
    <w:p w:rsidR="005B6E18" w:rsidRPr="005B6E18" w:rsidRDefault="005B6E18" w:rsidP="005B6E18">
      <w:pPr>
        <w:pStyle w:val="PageBreak"/>
      </w:pPr>
      <w:r w:rsidRPr="005B6E18">
        <w:br w:type="page"/>
      </w:r>
    </w:p>
    <w:p w:rsidR="009720B3" w:rsidRPr="00B043CD" w:rsidRDefault="009720B3">
      <w:pPr>
        <w:pStyle w:val="Endnote20"/>
      </w:pPr>
      <w:bookmarkStart w:id="110" w:name="_Toc532221288"/>
      <w:r w:rsidRPr="00B043CD">
        <w:rPr>
          <w:rStyle w:val="charTableNo"/>
        </w:rPr>
        <w:lastRenderedPageBreak/>
        <w:t>5</w:t>
      </w:r>
      <w:r>
        <w:tab/>
      </w:r>
      <w:r w:rsidRPr="00B043CD">
        <w:rPr>
          <w:rStyle w:val="charTableText"/>
        </w:rPr>
        <w:t>Earlier republications</w:t>
      </w:r>
      <w:bookmarkEnd w:id="110"/>
    </w:p>
    <w:p w:rsidR="009720B3" w:rsidRDefault="009720B3">
      <w:pPr>
        <w:pStyle w:val="EndNoteTextPub"/>
      </w:pPr>
      <w:r>
        <w:t xml:space="preserve">Some earlier republications were not numbered. The number in column 1 refers to the publication order.  </w:t>
      </w:r>
    </w:p>
    <w:p w:rsidR="009720B3" w:rsidRDefault="009720B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720B3" w:rsidRDefault="009720B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720B3">
        <w:trPr>
          <w:tblHeader/>
        </w:trPr>
        <w:tc>
          <w:tcPr>
            <w:tcW w:w="1576" w:type="dxa"/>
            <w:tcBorders>
              <w:bottom w:val="single" w:sz="4" w:space="0" w:color="auto"/>
            </w:tcBorders>
          </w:tcPr>
          <w:p w:rsidR="009720B3" w:rsidRDefault="009720B3">
            <w:pPr>
              <w:pStyle w:val="EarlierRepubHdg"/>
            </w:pPr>
            <w:r>
              <w:t>Republication No and date</w:t>
            </w:r>
          </w:p>
        </w:tc>
        <w:tc>
          <w:tcPr>
            <w:tcW w:w="1681" w:type="dxa"/>
            <w:tcBorders>
              <w:bottom w:val="single" w:sz="4" w:space="0" w:color="auto"/>
            </w:tcBorders>
          </w:tcPr>
          <w:p w:rsidR="009720B3" w:rsidRDefault="009720B3">
            <w:pPr>
              <w:pStyle w:val="EarlierRepubHdg"/>
            </w:pPr>
            <w:r>
              <w:t>Effective</w:t>
            </w:r>
          </w:p>
        </w:tc>
        <w:tc>
          <w:tcPr>
            <w:tcW w:w="1783" w:type="dxa"/>
            <w:tcBorders>
              <w:bottom w:val="single" w:sz="4" w:space="0" w:color="auto"/>
            </w:tcBorders>
          </w:tcPr>
          <w:p w:rsidR="009720B3" w:rsidRDefault="009720B3">
            <w:pPr>
              <w:pStyle w:val="EarlierRepubHdg"/>
            </w:pPr>
            <w:r>
              <w:t>Last amendment made by</w:t>
            </w:r>
          </w:p>
        </w:tc>
        <w:tc>
          <w:tcPr>
            <w:tcW w:w="1783" w:type="dxa"/>
            <w:tcBorders>
              <w:bottom w:val="single" w:sz="4" w:space="0" w:color="auto"/>
            </w:tcBorders>
          </w:tcPr>
          <w:p w:rsidR="009720B3" w:rsidRDefault="009720B3">
            <w:pPr>
              <w:pStyle w:val="EarlierRepubHdg"/>
            </w:pPr>
            <w:r>
              <w:t>Republication for</w:t>
            </w:r>
          </w:p>
        </w:tc>
      </w:tr>
      <w:tr w:rsidR="009720B3">
        <w:tc>
          <w:tcPr>
            <w:tcW w:w="1576" w:type="dxa"/>
            <w:tcBorders>
              <w:top w:val="single" w:sz="4" w:space="0" w:color="auto"/>
              <w:bottom w:val="single" w:sz="4" w:space="0" w:color="auto"/>
            </w:tcBorders>
          </w:tcPr>
          <w:p w:rsidR="009720B3" w:rsidRDefault="009720B3">
            <w:pPr>
              <w:pStyle w:val="EarlierRepubEntries"/>
            </w:pPr>
            <w:r>
              <w:t>R1</w:t>
            </w:r>
            <w:r>
              <w:br/>
              <w:t>1 Nov 2004</w:t>
            </w:r>
          </w:p>
        </w:tc>
        <w:tc>
          <w:tcPr>
            <w:tcW w:w="1681" w:type="dxa"/>
            <w:tcBorders>
              <w:top w:val="single" w:sz="4" w:space="0" w:color="auto"/>
              <w:bottom w:val="single" w:sz="4" w:space="0" w:color="auto"/>
            </w:tcBorders>
          </w:tcPr>
          <w:p w:rsidR="009720B3" w:rsidRDefault="009720B3">
            <w:pPr>
              <w:pStyle w:val="EarlierRepubEntries"/>
            </w:pPr>
            <w:r>
              <w:t>1 Nov 2004–</w:t>
            </w:r>
            <w:r>
              <w:br/>
              <w:t>4 Dec 2007</w:t>
            </w:r>
          </w:p>
        </w:tc>
        <w:tc>
          <w:tcPr>
            <w:tcW w:w="1783" w:type="dxa"/>
            <w:tcBorders>
              <w:top w:val="single" w:sz="4" w:space="0" w:color="auto"/>
              <w:bottom w:val="single" w:sz="4" w:space="0" w:color="auto"/>
            </w:tcBorders>
          </w:tcPr>
          <w:p w:rsidR="009720B3" w:rsidRDefault="009720B3">
            <w:pPr>
              <w:pStyle w:val="EarlierRepubEntries"/>
            </w:pPr>
            <w:r>
              <w:t>not amended</w:t>
            </w:r>
          </w:p>
        </w:tc>
        <w:tc>
          <w:tcPr>
            <w:tcW w:w="1783" w:type="dxa"/>
            <w:tcBorders>
              <w:top w:val="single" w:sz="4" w:space="0" w:color="auto"/>
              <w:bottom w:val="single" w:sz="4" w:space="0" w:color="auto"/>
            </w:tcBorders>
          </w:tcPr>
          <w:p w:rsidR="009720B3" w:rsidRDefault="009720B3">
            <w:pPr>
              <w:pStyle w:val="EarlierRepubEntries"/>
            </w:pPr>
            <w:r>
              <w:t>new regulation</w:t>
            </w:r>
          </w:p>
        </w:tc>
      </w:tr>
      <w:tr w:rsidR="00705D89">
        <w:tc>
          <w:tcPr>
            <w:tcW w:w="1576" w:type="dxa"/>
            <w:tcBorders>
              <w:top w:val="single" w:sz="4" w:space="0" w:color="auto"/>
              <w:bottom w:val="single" w:sz="4" w:space="0" w:color="auto"/>
            </w:tcBorders>
          </w:tcPr>
          <w:p w:rsidR="00705D89" w:rsidRDefault="00705D89">
            <w:pPr>
              <w:pStyle w:val="EarlierRepubEntries"/>
            </w:pPr>
            <w:r>
              <w:t>R2</w:t>
            </w:r>
            <w:r>
              <w:br/>
              <w:t>5 Dec 2007</w:t>
            </w:r>
          </w:p>
        </w:tc>
        <w:tc>
          <w:tcPr>
            <w:tcW w:w="1681" w:type="dxa"/>
            <w:tcBorders>
              <w:top w:val="single" w:sz="4" w:space="0" w:color="auto"/>
              <w:bottom w:val="single" w:sz="4" w:space="0" w:color="auto"/>
            </w:tcBorders>
          </w:tcPr>
          <w:p w:rsidR="00705D89" w:rsidRDefault="00705D89">
            <w:pPr>
              <w:pStyle w:val="EarlierRepubEntries"/>
            </w:pPr>
            <w:r>
              <w:t>5 Dec 2007–</w:t>
            </w:r>
            <w:r>
              <w:br/>
              <w:t>16 Dec 2009</w:t>
            </w:r>
          </w:p>
        </w:tc>
        <w:tc>
          <w:tcPr>
            <w:tcW w:w="1783" w:type="dxa"/>
            <w:tcBorders>
              <w:top w:val="single" w:sz="4" w:space="0" w:color="auto"/>
              <w:bottom w:val="single" w:sz="4" w:space="0" w:color="auto"/>
            </w:tcBorders>
          </w:tcPr>
          <w:p w:rsidR="00705D89" w:rsidRDefault="00CF7DD8">
            <w:pPr>
              <w:pStyle w:val="EarlierRepubEntries"/>
            </w:pPr>
            <w:hyperlink r:id="rId302" w:tooltip="Gaming Machine Amendment Act 2007 (No 2)" w:history="1">
              <w:r w:rsidR="000812EE" w:rsidRPr="000812EE">
                <w:rPr>
                  <w:rStyle w:val="charCitHyperlinkAbbrev"/>
                </w:rPr>
                <w:t>A2007</w:t>
              </w:r>
              <w:r w:rsidR="000812EE" w:rsidRPr="000812EE">
                <w:rPr>
                  <w:rStyle w:val="charCitHyperlinkAbbrev"/>
                </w:rPr>
                <w:noBreakHyphen/>
                <w:t>40</w:t>
              </w:r>
            </w:hyperlink>
          </w:p>
        </w:tc>
        <w:tc>
          <w:tcPr>
            <w:tcW w:w="1783" w:type="dxa"/>
            <w:tcBorders>
              <w:top w:val="single" w:sz="4" w:space="0" w:color="auto"/>
              <w:bottom w:val="single" w:sz="4" w:space="0" w:color="auto"/>
            </w:tcBorders>
          </w:tcPr>
          <w:p w:rsidR="00705D89" w:rsidRDefault="00705D89">
            <w:pPr>
              <w:pStyle w:val="EarlierRepubEntries"/>
            </w:pPr>
            <w:r>
              <w:t xml:space="preserve">amendments by </w:t>
            </w:r>
            <w:hyperlink r:id="rId303" w:tooltip="Gaming Machine Amendment Act 2007 (No 2)" w:history="1">
              <w:r w:rsidR="000812EE" w:rsidRPr="000812EE">
                <w:rPr>
                  <w:rStyle w:val="charCitHyperlinkAbbrev"/>
                </w:rPr>
                <w:t>A2007</w:t>
              </w:r>
              <w:r w:rsidR="000812EE" w:rsidRPr="000812EE">
                <w:rPr>
                  <w:rStyle w:val="charCitHyperlinkAbbrev"/>
                </w:rPr>
                <w:noBreakHyphen/>
                <w:t>40</w:t>
              </w:r>
            </w:hyperlink>
          </w:p>
        </w:tc>
      </w:tr>
      <w:tr w:rsidR="005B33DF">
        <w:tc>
          <w:tcPr>
            <w:tcW w:w="1576" w:type="dxa"/>
            <w:tcBorders>
              <w:top w:val="single" w:sz="4" w:space="0" w:color="auto"/>
              <w:bottom w:val="single" w:sz="4" w:space="0" w:color="auto"/>
            </w:tcBorders>
          </w:tcPr>
          <w:p w:rsidR="005B33DF" w:rsidRDefault="005B33DF">
            <w:pPr>
              <w:pStyle w:val="EarlierRepubEntries"/>
            </w:pPr>
            <w:r>
              <w:t>R3</w:t>
            </w:r>
            <w:r>
              <w:br/>
              <w:t>17 Dec 2009</w:t>
            </w:r>
          </w:p>
        </w:tc>
        <w:tc>
          <w:tcPr>
            <w:tcW w:w="1681" w:type="dxa"/>
            <w:tcBorders>
              <w:top w:val="single" w:sz="4" w:space="0" w:color="auto"/>
              <w:bottom w:val="single" w:sz="4" w:space="0" w:color="auto"/>
            </w:tcBorders>
          </w:tcPr>
          <w:p w:rsidR="005B33DF" w:rsidRDefault="005B33DF">
            <w:pPr>
              <w:pStyle w:val="EarlierRepubEntries"/>
            </w:pPr>
            <w:r>
              <w:t>17 Dec 2009–</w:t>
            </w:r>
            <w:r>
              <w:br/>
              <w:t>30 June 2012</w:t>
            </w:r>
          </w:p>
        </w:tc>
        <w:tc>
          <w:tcPr>
            <w:tcW w:w="1783" w:type="dxa"/>
            <w:tcBorders>
              <w:top w:val="single" w:sz="4" w:space="0" w:color="auto"/>
              <w:bottom w:val="single" w:sz="4" w:space="0" w:color="auto"/>
            </w:tcBorders>
          </w:tcPr>
          <w:p w:rsidR="005B33DF" w:rsidRDefault="00CF7DD8">
            <w:pPr>
              <w:pStyle w:val="EarlierRepubEntries"/>
            </w:pPr>
            <w:hyperlink r:id="rId304" w:tooltip="Statute Law Amendment Act 2009 (No 2)" w:history="1">
              <w:r w:rsidR="000812EE" w:rsidRPr="000812EE">
                <w:rPr>
                  <w:rStyle w:val="charCitHyperlinkAbbrev"/>
                </w:rPr>
                <w:t>A2009</w:t>
              </w:r>
              <w:r w:rsidR="000812EE" w:rsidRPr="000812EE">
                <w:rPr>
                  <w:rStyle w:val="charCitHyperlinkAbbrev"/>
                </w:rPr>
                <w:noBreakHyphen/>
                <w:t>49</w:t>
              </w:r>
            </w:hyperlink>
          </w:p>
        </w:tc>
        <w:tc>
          <w:tcPr>
            <w:tcW w:w="1783" w:type="dxa"/>
            <w:tcBorders>
              <w:top w:val="single" w:sz="4" w:space="0" w:color="auto"/>
              <w:bottom w:val="single" w:sz="4" w:space="0" w:color="auto"/>
            </w:tcBorders>
          </w:tcPr>
          <w:p w:rsidR="005B33DF" w:rsidRDefault="005B33DF">
            <w:pPr>
              <w:pStyle w:val="EarlierRepubEntries"/>
            </w:pPr>
            <w:r>
              <w:t xml:space="preserve">amendments by </w:t>
            </w:r>
            <w:hyperlink r:id="rId305" w:tooltip="Statute Law Amendment Act 2009 (No 2)" w:history="1">
              <w:r w:rsidR="000812EE" w:rsidRPr="000812EE">
                <w:rPr>
                  <w:rStyle w:val="charCitHyperlinkAbbrev"/>
                </w:rPr>
                <w:t>A2009</w:t>
              </w:r>
              <w:r w:rsidR="000812EE" w:rsidRPr="000812EE">
                <w:rPr>
                  <w:rStyle w:val="charCitHyperlinkAbbrev"/>
                </w:rPr>
                <w:noBreakHyphen/>
                <w:t>49</w:t>
              </w:r>
            </w:hyperlink>
          </w:p>
        </w:tc>
      </w:tr>
      <w:tr w:rsidR="001C0B89">
        <w:tc>
          <w:tcPr>
            <w:tcW w:w="1576" w:type="dxa"/>
            <w:tcBorders>
              <w:top w:val="single" w:sz="4" w:space="0" w:color="auto"/>
              <w:bottom w:val="single" w:sz="4" w:space="0" w:color="auto"/>
            </w:tcBorders>
          </w:tcPr>
          <w:p w:rsidR="001C0B89" w:rsidRDefault="001C0B89">
            <w:pPr>
              <w:pStyle w:val="EarlierRepubEntries"/>
            </w:pPr>
            <w:r>
              <w:t>R4</w:t>
            </w:r>
            <w:r>
              <w:br/>
              <w:t>1 July 2012</w:t>
            </w:r>
          </w:p>
        </w:tc>
        <w:tc>
          <w:tcPr>
            <w:tcW w:w="1681" w:type="dxa"/>
            <w:tcBorders>
              <w:top w:val="single" w:sz="4" w:space="0" w:color="auto"/>
              <w:bottom w:val="single" w:sz="4" w:space="0" w:color="auto"/>
            </w:tcBorders>
          </w:tcPr>
          <w:p w:rsidR="001C0B89" w:rsidRDefault="001C0B89">
            <w:pPr>
              <w:pStyle w:val="EarlierRepubEntries"/>
            </w:pPr>
            <w:r>
              <w:t>1 July 2012–</w:t>
            </w:r>
            <w:r>
              <w:br/>
              <w:t>31 Dec 2012</w:t>
            </w:r>
          </w:p>
        </w:tc>
        <w:tc>
          <w:tcPr>
            <w:tcW w:w="1783" w:type="dxa"/>
            <w:tcBorders>
              <w:top w:val="single" w:sz="4" w:space="0" w:color="auto"/>
              <w:bottom w:val="single" w:sz="4" w:space="0" w:color="auto"/>
            </w:tcBorders>
          </w:tcPr>
          <w:p w:rsidR="001C0B89" w:rsidRDefault="00CF7DD8">
            <w:pPr>
              <w:pStyle w:val="EarlierRepubEntries"/>
            </w:pPr>
            <w:hyperlink r:id="rId306" w:tooltip="Gaming Machine (Club Governance) Amendment Act 2011" w:history="1">
              <w:r w:rsidR="000812EE" w:rsidRPr="000812EE">
                <w:rPr>
                  <w:rStyle w:val="charCitHyperlinkAbbrev"/>
                </w:rPr>
                <w:t>A2011</w:t>
              </w:r>
              <w:r w:rsidR="000812EE" w:rsidRPr="000812EE">
                <w:rPr>
                  <w:rStyle w:val="charCitHyperlinkAbbrev"/>
                </w:rPr>
                <w:noBreakHyphen/>
                <w:t>24</w:t>
              </w:r>
            </w:hyperlink>
          </w:p>
        </w:tc>
        <w:tc>
          <w:tcPr>
            <w:tcW w:w="1783" w:type="dxa"/>
            <w:tcBorders>
              <w:top w:val="single" w:sz="4" w:space="0" w:color="auto"/>
              <w:bottom w:val="single" w:sz="4" w:space="0" w:color="auto"/>
            </w:tcBorders>
          </w:tcPr>
          <w:p w:rsidR="001C0B89" w:rsidRDefault="001C0B89">
            <w:pPr>
              <w:pStyle w:val="EarlierRepubEntries"/>
            </w:pPr>
            <w:r>
              <w:t xml:space="preserve">amendments by </w:t>
            </w:r>
            <w:hyperlink r:id="rId307" w:tooltip="Gaming Machine (Club Governance) Amendment Act 2011" w:history="1">
              <w:r w:rsidR="000812EE" w:rsidRPr="000812EE">
                <w:rPr>
                  <w:rStyle w:val="charCitHyperlinkAbbrev"/>
                </w:rPr>
                <w:t>A2011</w:t>
              </w:r>
              <w:r w:rsidR="000812EE" w:rsidRPr="000812EE">
                <w:rPr>
                  <w:rStyle w:val="charCitHyperlinkAbbrev"/>
                </w:rPr>
                <w:noBreakHyphen/>
                <w:t>24</w:t>
              </w:r>
            </w:hyperlink>
          </w:p>
        </w:tc>
      </w:tr>
      <w:tr w:rsidR="006C0A55">
        <w:tc>
          <w:tcPr>
            <w:tcW w:w="1576" w:type="dxa"/>
            <w:tcBorders>
              <w:top w:val="single" w:sz="4" w:space="0" w:color="auto"/>
              <w:bottom w:val="single" w:sz="4" w:space="0" w:color="auto"/>
            </w:tcBorders>
          </w:tcPr>
          <w:p w:rsidR="006C0A55" w:rsidRDefault="006C0A55">
            <w:pPr>
              <w:pStyle w:val="EarlierRepubEntries"/>
            </w:pPr>
            <w:r>
              <w:t>R5</w:t>
            </w:r>
            <w:r>
              <w:br/>
              <w:t>1 Jan 2013</w:t>
            </w:r>
          </w:p>
        </w:tc>
        <w:tc>
          <w:tcPr>
            <w:tcW w:w="1681" w:type="dxa"/>
            <w:tcBorders>
              <w:top w:val="single" w:sz="4" w:space="0" w:color="auto"/>
              <w:bottom w:val="single" w:sz="4" w:space="0" w:color="auto"/>
            </w:tcBorders>
          </w:tcPr>
          <w:p w:rsidR="006C0A55" w:rsidRDefault="006C0A55">
            <w:pPr>
              <w:pStyle w:val="EarlierRepubEntries"/>
            </w:pPr>
            <w:r>
              <w:t>1 Jan 2013–</w:t>
            </w:r>
            <w:r>
              <w:br/>
              <w:t>13 June 2013</w:t>
            </w:r>
          </w:p>
        </w:tc>
        <w:tc>
          <w:tcPr>
            <w:tcW w:w="1783" w:type="dxa"/>
            <w:tcBorders>
              <w:top w:val="single" w:sz="4" w:space="0" w:color="auto"/>
              <w:bottom w:val="single" w:sz="4" w:space="0" w:color="auto"/>
            </w:tcBorders>
          </w:tcPr>
          <w:p w:rsidR="006C0A55" w:rsidRDefault="00CF7DD8">
            <w:pPr>
              <w:pStyle w:val="EarlierRepubEntries"/>
            </w:pPr>
            <w:hyperlink r:id="rId308" w:tooltip="Gaming Machine Amendment Act 2012" w:history="1">
              <w:r w:rsidR="006C0A55" w:rsidRPr="006C0A55">
                <w:rPr>
                  <w:rStyle w:val="charCitHyperlinkAbbrev"/>
                </w:rPr>
                <w:t>A2012</w:t>
              </w:r>
              <w:r w:rsidR="006C0A55" w:rsidRPr="006C0A55">
                <w:rPr>
                  <w:rStyle w:val="charCitHyperlinkAbbrev"/>
                </w:rPr>
                <w:noBreakHyphen/>
                <w:t>42</w:t>
              </w:r>
            </w:hyperlink>
          </w:p>
        </w:tc>
        <w:tc>
          <w:tcPr>
            <w:tcW w:w="1783" w:type="dxa"/>
            <w:tcBorders>
              <w:top w:val="single" w:sz="4" w:space="0" w:color="auto"/>
              <w:bottom w:val="single" w:sz="4" w:space="0" w:color="auto"/>
            </w:tcBorders>
          </w:tcPr>
          <w:p w:rsidR="006C0A55" w:rsidRDefault="006C0A55">
            <w:pPr>
              <w:pStyle w:val="EarlierRepubEntries"/>
            </w:pPr>
            <w:r>
              <w:t xml:space="preserve">amendments by </w:t>
            </w:r>
            <w:hyperlink r:id="rId309" w:tooltip="Gaming Machine Amendment Act 2012" w:history="1">
              <w:r w:rsidRPr="006C0A55">
                <w:rPr>
                  <w:rStyle w:val="charCitHyperlinkAbbrev"/>
                </w:rPr>
                <w:t>A2012</w:t>
              </w:r>
              <w:r w:rsidRPr="006C0A55">
                <w:rPr>
                  <w:rStyle w:val="charCitHyperlinkAbbrev"/>
                </w:rPr>
                <w:noBreakHyphen/>
                <w:t>42</w:t>
              </w:r>
            </w:hyperlink>
          </w:p>
        </w:tc>
      </w:tr>
      <w:tr w:rsidR="00360F49">
        <w:tc>
          <w:tcPr>
            <w:tcW w:w="1576" w:type="dxa"/>
            <w:tcBorders>
              <w:top w:val="single" w:sz="4" w:space="0" w:color="auto"/>
              <w:bottom w:val="single" w:sz="4" w:space="0" w:color="auto"/>
            </w:tcBorders>
          </w:tcPr>
          <w:p w:rsidR="00360F49" w:rsidRDefault="00360F49">
            <w:pPr>
              <w:pStyle w:val="EarlierRepubEntries"/>
            </w:pPr>
            <w:r>
              <w:t>R6</w:t>
            </w:r>
            <w:r>
              <w:br/>
              <w:t>14 June 2013</w:t>
            </w:r>
          </w:p>
        </w:tc>
        <w:tc>
          <w:tcPr>
            <w:tcW w:w="1681" w:type="dxa"/>
            <w:tcBorders>
              <w:top w:val="single" w:sz="4" w:space="0" w:color="auto"/>
              <w:bottom w:val="single" w:sz="4" w:space="0" w:color="auto"/>
            </w:tcBorders>
          </w:tcPr>
          <w:p w:rsidR="00360F49" w:rsidRDefault="00360F49">
            <w:pPr>
              <w:pStyle w:val="EarlierRepubEntries"/>
            </w:pPr>
            <w:r>
              <w:t>14 June 2013</w:t>
            </w:r>
            <w:r w:rsidR="00297937">
              <w:t>–</w:t>
            </w:r>
            <w:r>
              <w:br/>
              <w:t>31 July 2014</w:t>
            </w:r>
          </w:p>
        </w:tc>
        <w:tc>
          <w:tcPr>
            <w:tcW w:w="1783" w:type="dxa"/>
            <w:tcBorders>
              <w:top w:val="single" w:sz="4" w:space="0" w:color="auto"/>
              <w:bottom w:val="single" w:sz="4" w:space="0" w:color="auto"/>
            </w:tcBorders>
          </w:tcPr>
          <w:p w:rsidR="00360F49" w:rsidRDefault="00CF7DD8">
            <w:pPr>
              <w:pStyle w:val="EarlierRepubEntries"/>
            </w:pPr>
            <w:hyperlink r:id="rId310" w:tooltip="Statute Law Amendment Act 2013" w:history="1">
              <w:r w:rsidR="00360F49">
                <w:rPr>
                  <w:rStyle w:val="charCitHyperlinkAbbrev"/>
                </w:rPr>
                <w:t>A2013</w:t>
              </w:r>
              <w:r w:rsidR="00360F49">
                <w:rPr>
                  <w:rStyle w:val="charCitHyperlinkAbbrev"/>
                </w:rPr>
                <w:noBreakHyphen/>
                <w:t>19</w:t>
              </w:r>
            </w:hyperlink>
          </w:p>
        </w:tc>
        <w:tc>
          <w:tcPr>
            <w:tcW w:w="1783" w:type="dxa"/>
            <w:tcBorders>
              <w:top w:val="single" w:sz="4" w:space="0" w:color="auto"/>
              <w:bottom w:val="single" w:sz="4" w:space="0" w:color="auto"/>
            </w:tcBorders>
          </w:tcPr>
          <w:p w:rsidR="00360F49" w:rsidRDefault="00360F49">
            <w:pPr>
              <w:pStyle w:val="EarlierRepubEntries"/>
            </w:pPr>
            <w:r>
              <w:t xml:space="preserve">amendments by </w:t>
            </w:r>
            <w:hyperlink r:id="rId311" w:tooltip="Statute Law Amendment Act 2013" w:history="1">
              <w:r>
                <w:rPr>
                  <w:rStyle w:val="charCitHyperlinkAbbrev"/>
                </w:rPr>
                <w:t>A2013</w:t>
              </w:r>
              <w:r>
                <w:rPr>
                  <w:rStyle w:val="charCitHyperlinkAbbrev"/>
                </w:rPr>
                <w:noBreakHyphen/>
                <w:t>19</w:t>
              </w:r>
            </w:hyperlink>
          </w:p>
        </w:tc>
      </w:tr>
      <w:tr w:rsidR="00F0038F">
        <w:tc>
          <w:tcPr>
            <w:tcW w:w="1576" w:type="dxa"/>
            <w:tcBorders>
              <w:top w:val="single" w:sz="4" w:space="0" w:color="auto"/>
              <w:bottom w:val="single" w:sz="4" w:space="0" w:color="auto"/>
            </w:tcBorders>
          </w:tcPr>
          <w:p w:rsidR="00F0038F" w:rsidRDefault="00F0038F">
            <w:pPr>
              <w:pStyle w:val="EarlierRepubEntries"/>
            </w:pPr>
            <w:r>
              <w:t>R7</w:t>
            </w:r>
            <w:r>
              <w:br/>
            </w:r>
            <w:r w:rsidR="00297937">
              <w:t>1 Aug 2014</w:t>
            </w:r>
          </w:p>
        </w:tc>
        <w:tc>
          <w:tcPr>
            <w:tcW w:w="1681" w:type="dxa"/>
            <w:tcBorders>
              <w:top w:val="single" w:sz="4" w:space="0" w:color="auto"/>
              <w:bottom w:val="single" w:sz="4" w:space="0" w:color="auto"/>
            </w:tcBorders>
          </w:tcPr>
          <w:p w:rsidR="00F0038F" w:rsidRDefault="00297937">
            <w:pPr>
              <w:pStyle w:val="EarlierRepubEntries"/>
            </w:pPr>
            <w:r>
              <w:t>1 Aug 2014–</w:t>
            </w:r>
            <w:r>
              <w:br/>
              <w:t>8 Sept 2014</w:t>
            </w:r>
          </w:p>
        </w:tc>
        <w:tc>
          <w:tcPr>
            <w:tcW w:w="1783" w:type="dxa"/>
            <w:tcBorders>
              <w:top w:val="single" w:sz="4" w:space="0" w:color="auto"/>
              <w:bottom w:val="single" w:sz="4" w:space="0" w:color="auto"/>
            </w:tcBorders>
          </w:tcPr>
          <w:p w:rsidR="00F0038F" w:rsidRDefault="00CF7DD8">
            <w:pPr>
              <w:pStyle w:val="EarlierRepubEntries"/>
            </w:pPr>
            <w:hyperlink r:id="rId312" w:tooltip="Gambling and Racing Control (Code of Practice) Amendment Regulation 2014 (No 1)" w:history="1">
              <w:r w:rsidR="00297937" w:rsidRPr="00297937">
                <w:rPr>
                  <w:rStyle w:val="charCitHyperlinkAbbrev"/>
                </w:rPr>
                <w:t>SL2014-17</w:t>
              </w:r>
            </w:hyperlink>
          </w:p>
        </w:tc>
        <w:tc>
          <w:tcPr>
            <w:tcW w:w="1783" w:type="dxa"/>
            <w:tcBorders>
              <w:top w:val="single" w:sz="4" w:space="0" w:color="auto"/>
              <w:bottom w:val="single" w:sz="4" w:space="0" w:color="auto"/>
            </w:tcBorders>
          </w:tcPr>
          <w:p w:rsidR="00F0038F" w:rsidRDefault="00297937">
            <w:pPr>
              <w:pStyle w:val="EarlierRepubEntries"/>
            </w:pPr>
            <w:r>
              <w:t xml:space="preserve">amendments by </w:t>
            </w:r>
            <w:hyperlink r:id="rId313" w:tooltip="Gambling and Racing Control (Code of Practice) Amendment Regulation 2014 (No 1)" w:history="1">
              <w:r w:rsidRPr="00297937">
                <w:rPr>
                  <w:rStyle w:val="charCitHyperlinkAbbrev"/>
                </w:rPr>
                <w:t>SL2014-17</w:t>
              </w:r>
            </w:hyperlink>
          </w:p>
        </w:tc>
      </w:tr>
      <w:tr w:rsidR="00636486">
        <w:tc>
          <w:tcPr>
            <w:tcW w:w="1576" w:type="dxa"/>
            <w:tcBorders>
              <w:top w:val="single" w:sz="4" w:space="0" w:color="auto"/>
              <w:bottom w:val="single" w:sz="4" w:space="0" w:color="auto"/>
            </w:tcBorders>
          </w:tcPr>
          <w:p w:rsidR="00636486" w:rsidRDefault="00636486">
            <w:pPr>
              <w:pStyle w:val="EarlierRepubEntries"/>
            </w:pPr>
            <w:r>
              <w:t>R8</w:t>
            </w:r>
            <w:r>
              <w:br/>
              <w:t>9 Sept 2014</w:t>
            </w:r>
          </w:p>
        </w:tc>
        <w:tc>
          <w:tcPr>
            <w:tcW w:w="1681" w:type="dxa"/>
            <w:tcBorders>
              <w:top w:val="single" w:sz="4" w:space="0" w:color="auto"/>
              <w:bottom w:val="single" w:sz="4" w:space="0" w:color="auto"/>
            </w:tcBorders>
          </w:tcPr>
          <w:p w:rsidR="00636486" w:rsidRDefault="00636486">
            <w:pPr>
              <w:pStyle w:val="EarlierRepubEntries"/>
            </w:pPr>
            <w:r>
              <w:t>9 Sept 2014–</w:t>
            </w:r>
            <w:r>
              <w:br/>
              <w:t>22 Dec 2014</w:t>
            </w:r>
          </w:p>
        </w:tc>
        <w:tc>
          <w:tcPr>
            <w:tcW w:w="1783" w:type="dxa"/>
            <w:tcBorders>
              <w:top w:val="single" w:sz="4" w:space="0" w:color="auto"/>
              <w:bottom w:val="single" w:sz="4" w:space="0" w:color="auto"/>
            </w:tcBorders>
          </w:tcPr>
          <w:p w:rsidR="00636486" w:rsidRDefault="00CF7DD8">
            <w:pPr>
              <w:pStyle w:val="EarlierRepubEntries"/>
            </w:pPr>
            <w:hyperlink r:id="rId314" w:tooltip="Gaming Machine Amendment Regulation 2014 (No 1)" w:history="1">
              <w:r w:rsidR="00636486">
                <w:rPr>
                  <w:rStyle w:val="charCitHyperlinkAbbrev"/>
                </w:rPr>
                <w:t>SL2014</w:t>
              </w:r>
              <w:r w:rsidR="00636486">
                <w:rPr>
                  <w:rStyle w:val="charCitHyperlinkAbbrev"/>
                </w:rPr>
                <w:noBreakHyphen/>
                <w:t>22</w:t>
              </w:r>
            </w:hyperlink>
          </w:p>
        </w:tc>
        <w:tc>
          <w:tcPr>
            <w:tcW w:w="1783" w:type="dxa"/>
            <w:tcBorders>
              <w:top w:val="single" w:sz="4" w:space="0" w:color="auto"/>
              <w:bottom w:val="single" w:sz="4" w:space="0" w:color="auto"/>
            </w:tcBorders>
          </w:tcPr>
          <w:p w:rsidR="00636486" w:rsidRDefault="00636486">
            <w:pPr>
              <w:pStyle w:val="EarlierRepubEntries"/>
            </w:pPr>
            <w:r>
              <w:t xml:space="preserve">amendments by </w:t>
            </w:r>
            <w:hyperlink r:id="rId315" w:tooltip="Gaming Machine Amendment Regulation 2014 (No 1)" w:history="1">
              <w:r>
                <w:rPr>
                  <w:rStyle w:val="charCitHyperlinkAbbrev"/>
                </w:rPr>
                <w:t>SL2014</w:t>
              </w:r>
              <w:r>
                <w:rPr>
                  <w:rStyle w:val="charCitHyperlinkAbbrev"/>
                </w:rPr>
                <w:noBreakHyphen/>
                <w:t>22</w:t>
              </w:r>
            </w:hyperlink>
          </w:p>
        </w:tc>
      </w:tr>
      <w:tr w:rsidR="008A7484">
        <w:tc>
          <w:tcPr>
            <w:tcW w:w="1576" w:type="dxa"/>
            <w:tcBorders>
              <w:top w:val="single" w:sz="4" w:space="0" w:color="auto"/>
              <w:bottom w:val="single" w:sz="4" w:space="0" w:color="auto"/>
            </w:tcBorders>
          </w:tcPr>
          <w:p w:rsidR="008A7484" w:rsidRDefault="008A7484">
            <w:pPr>
              <w:pStyle w:val="EarlierRepubEntries"/>
            </w:pPr>
            <w:r>
              <w:t>R9</w:t>
            </w:r>
            <w:r>
              <w:br/>
              <w:t>23 Dec 2014</w:t>
            </w:r>
          </w:p>
        </w:tc>
        <w:tc>
          <w:tcPr>
            <w:tcW w:w="1681" w:type="dxa"/>
            <w:tcBorders>
              <w:top w:val="single" w:sz="4" w:space="0" w:color="auto"/>
              <w:bottom w:val="single" w:sz="4" w:space="0" w:color="auto"/>
            </w:tcBorders>
          </w:tcPr>
          <w:p w:rsidR="008A7484" w:rsidRDefault="008A7484" w:rsidP="00D854C5">
            <w:pPr>
              <w:pStyle w:val="EarlierRepubEntries"/>
            </w:pPr>
            <w:r>
              <w:t>23 Dec 2014</w:t>
            </w:r>
            <w:r w:rsidR="008B038D">
              <w:t>–</w:t>
            </w:r>
            <w:r w:rsidR="008B038D">
              <w:br/>
            </w:r>
            <w:r>
              <w:t>1</w:t>
            </w:r>
            <w:r w:rsidR="00D854C5">
              <w:t>9</w:t>
            </w:r>
            <w:r>
              <w:t xml:space="preserve"> Jan 2015</w:t>
            </w:r>
          </w:p>
        </w:tc>
        <w:tc>
          <w:tcPr>
            <w:tcW w:w="1783" w:type="dxa"/>
            <w:tcBorders>
              <w:top w:val="single" w:sz="4" w:space="0" w:color="auto"/>
              <w:bottom w:val="single" w:sz="4" w:space="0" w:color="auto"/>
            </w:tcBorders>
          </w:tcPr>
          <w:p w:rsidR="008A7484" w:rsidRDefault="00CF7DD8">
            <w:pPr>
              <w:pStyle w:val="EarlierRepubEntries"/>
            </w:pPr>
            <w:hyperlink r:id="rId316" w:tooltip="Gaming Machine Amendment Regulation 2014 (No 2)" w:history="1">
              <w:r w:rsidR="008A7484">
                <w:rPr>
                  <w:rStyle w:val="charCitHyperlinkAbbrev"/>
                </w:rPr>
                <w:t>SL2014</w:t>
              </w:r>
              <w:r w:rsidR="008A7484">
                <w:rPr>
                  <w:rStyle w:val="charCitHyperlinkAbbrev"/>
                </w:rPr>
                <w:noBreakHyphen/>
                <w:t>37</w:t>
              </w:r>
            </w:hyperlink>
          </w:p>
        </w:tc>
        <w:tc>
          <w:tcPr>
            <w:tcW w:w="1783" w:type="dxa"/>
            <w:tcBorders>
              <w:top w:val="single" w:sz="4" w:space="0" w:color="auto"/>
              <w:bottom w:val="single" w:sz="4" w:space="0" w:color="auto"/>
            </w:tcBorders>
          </w:tcPr>
          <w:p w:rsidR="008A7484" w:rsidRDefault="008A7484">
            <w:pPr>
              <w:pStyle w:val="EarlierRepubEntries"/>
            </w:pPr>
            <w:r>
              <w:t xml:space="preserve">amendments by </w:t>
            </w:r>
            <w:hyperlink r:id="rId317" w:tooltip="Gaming Machine Amendment Regulation 2014 (No 2)" w:history="1">
              <w:r>
                <w:rPr>
                  <w:rStyle w:val="charCitHyperlinkAbbrev"/>
                </w:rPr>
                <w:t>SL2014</w:t>
              </w:r>
              <w:r>
                <w:rPr>
                  <w:rStyle w:val="charCitHyperlinkAbbrev"/>
                </w:rPr>
                <w:noBreakHyphen/>
                <w:t>37</w:t>
              </w:r>
            </w:hyperlink>
          </w:p>
        </w:tc>
      </w:tr>
      <w:tr w:rsidR="009D5691">
        <w:tc>
          <w:tcPr>
            <w:tcW w:w="1576" w:type="dxa"/>
            <w:tcBorders>
              <w:top w:val="single" w:sz="4" w:space="0" w:color="auto"/>
              <w:bottom w:val="single" w:sz="4" w:space="0" w:color="auto"/>
            </w:tcBorders>
          </w:tcPr>
          <w:p w:rsidR="009D5691" w:rsidRDefault="009D5691">
            <w:pPr>
              <w:pStyle w:val="EarlierRepubEntries"/>
            </w:pPr>
            <w:r>
              <w:t>R10</w:t>
            </w:r>
            <w:r>
              <w:br/>
              <w:t>20 Jan 2015</w:t>
            </w:r>
          </w:p>
        </w:tc>
        <w:tc>
          <w:tcPr>
            <w:tcW w:w="1681" w:type="dxa"/>
            <w:tcBorders>
              <w:top w:val="single" w:sz="4" w:space="0" w:color="auto"/>
              <w:bottom w:val="single" w:sz="4" w:space="0" w:color="auto"/>
            </w:tcBorders>
          </w:tcPr>
          <w:p w:rsidR="009D5691" w:rsidRDefault="009D5691" w:rsidP="00D854C5">
            <w:pPr>
              <w:pStyle w:val="EarlierRepubEntries"/>
            </w:pPr>
            <w:r>
              <w:t>20 Jan 2015</w:t>
            </w:r>
            <w:r w:rsidR="008B038D">
              <w:t>–</w:t>
            </w:r>
            <w:r w:rsidR="008B038D">
              <w:br/>
            </w:r>
            <w:r>
              <w:t>30 Aug 2015</w:t>
            </w:r>
          </w:p>
        </w:tc>
        <w:tc>
          <w:tcPr>
            <w:tcW w:w="1783" w:type="dxa"/>
            <w:tcBorders>
              <w:top w:val="single" w:sz="4" w:space="0" w:color="auto"/>
              <w:bottom w:val="single" w:sz="4" w:space="0" w:color="auto"/>
            </w:tcBorders>
          </w:tcPr>
          <w:p w:rsidR="009D5691" w:rsidRDefault="00CF7DD8">
            <w:pPr>
              <w:pStyle w:val="EarlierRepubEntries"/>
            </w:pPr>
            <w:hyperlink r:id="rId318" w:tooltip="Gaming Machine Amendment Regulation 2015 (No 1)" w:history="1">
              <w:r w:rsidR="009D5691" w:rsidRPr="009D5691">
                <w:rPr>
                  <w:rStyle w:val="charCitHyperlinkAbbrev"/>
                </w:rPr>
                <w:t>SL2015-1</w:t>
              </w:r>
            </w:hyperlink>
          </w:p>
        </w:tc>
        <w:tc>
          <w:tcPr>
            <w:tcW w:w="1783" w:type="dxa"/>
            <w:tcBorders>
              <w:top w:val="single" w:sz="4" w:space="0" w:color="auto"/>
              <w:bottom w:val="single" w:sz="4" w:space="0" w:color="auto"/>
            </w:tcBorders>
          </w:tcPr>
          <w:p w:rsidR="009D5691" w:rsidRDefault="009D5691">
            <w:pPr>
              <w:pStyle w:val="EarlierRepubEntries"/>
            </w:pPr>
            <w:r>
              <w:t xml:space="preserve">amendments by </w:t>
            </w:r>
            <w:hyperlink r:id="rId319" w:tooltip="Gaming Machine Amendment Regulation 2015 (No 1)" w:history="1">
              <w:r w:rsidRPr="009D5691">
                <w:rPr>
                  <w:rStyle w:val="charCitHyperlinkAbbrev"/>
                </w:rPr>
                <w:t>SL2015-1</w:t>
              </w:r>
            </w:hyperlink>
          </w:p>
        </w:tc>
      </w:tr>
      <w:tr w:rsidR="005D77AE">
        <w:tc>
          <w:tcPr>
            <w:tcW w:w="1576" w:type="dxa"/>
            <w:tcBorders>
              <w:top w:val="single" w:sz="4" w:space="0" w:color="auto"/>
              <w:bottom w:val="single" w:sz="4" w:space="0" w:color="auto"/>
            </w:tcBorders>
          </w:tcPr>
          <w:p w:rsidR="005D77AE" w:rsidRDefault="005D77AE">
            <w:pPr>
              <w:pStyle w:val="EarlierRepubEntries"/>
            </w:pPr>
            <w:r>
              <w:t>R11</w:t>
            </w:r>
            <w:r>
              <w:br/>
              <w:t>31 Aug 2015</w:t>
            </w:r>
          </w:p>
        </w:tc>
        <w:tc>
          <w:tcPr>
            <w:tcW w:w="1681" w:type="dxa"/>
            <w:tcBorders>
              <w:top w:val="single" w:sz="4" w:space="0" w:color="auto"/>
              <w:bottom w:val="single" w:sz="4" w:space="0" w:color="auto"/>
            </w:tcBorders>
          </w:tcPr>
          <w:p w:rsidR="005D77AE" w:rsidRDefault="005D77AE" w:rsidP="00D854C5">
            <w:pPr>
              <w:pStyle w:val="EarlierRepubEntries"/>
            </w:pPr>
            <w:r>
              <w:t>31 Aug 2015</w:t>
            </w:r>
            <w:r w:rsidR="008B038D">
              <w:t>–</w:t>
            </w:r>
            <w:r w:rsidR="008B038D">
              <w:br/>
            </w:r>
            <w:r>
              <w:t>13 Oct 2015</w:t>
            </w:r>
          </w:p>
        </w:tc>
        <w:tc>
          <w:tcPr>
            <w:tcW w:w="1783" w:type="dxa"/>
            <w:tcBorders>
              <w:top w:val="single" w:sz="4" w:space="0" w:color="auto"/>
              <w:bottom w:val="single" w:sz="4" w:space="0" w:color="auto"/>
            </w:tcBorders>
          </w:tcPr>
          <w:p w:rsidR="005D77AE" w:rsidRDefault="00CF7DD8">
            <w:pPr>
              <w:pStyle w:val="EarlierRepubEntries"/>
            </w:pPr>
            <w:hyperlink r:id="rId320" w:tooltip="Gaming Legislation Amendment Regulation 2015 (No 1)" w:history="1">
              <w:r w:rsidR="005D77AE">
                <w:rPr>
                  <w:rStyle w:val="charCitHyperlinkAbbrev"/>
                </w:rPr>
                <w:t>SL2015</w:t>
              </w:r>
              <w:r w:rsidR="005D77AE">
                <w:rPr>
                  <w:rStyle w:val="charCitHyperlinkAbbrev"/>
                </w:rPr>
                <w:noBreakHyphen/>
                <w:t>27</w:t>
              </w:r>
            </w:hyperlink>
          </w:p>
        </w:tc>
        <w:tc>
          <w:tcPr>
            <w:tcW w:w="1783" w:type="dxa"/>
            <w:tcBorders>
              <w:top w:val="single" w:sz="4" w:space="0" w:color="auto"/>
              <w:bottom w:val="single" w:sz="4" w:space="0" w:color="auto"/>
            </w:tcBorders>
          </w:tcPr>
          <w:p w:rsidR="005D77AE" w:rsidRDefault="005D77AE">
            <w:pPr>
              <w:pStyle w:val="EarlierRepubEntries"/>
            </w:pPr>
            <w:r>
              <w:t xml:space="preserve">amendments by </w:t>
            </w:r>
            <w:hyperlink r:id="rId321" w:tooltip="Gaming Legislation Amendment Regulation 2015 (No 1)" w:history="1">
              <w:r>
                <w:rPr>
                  <w:rStyle w:val="charCitHyperlinkAbbrev"/>
                </w:rPr>
                <w:t>SL2015</w:t>
              </w:r>
              <w:r>
                <w:rPr>
                  <w:rStyle w:val="charCitHyperlinkAbbrev"/>
                </w:rPr>
                <w:noBreakHyphen/>
                <w:t>27</w:t>
              </w:r>
            </w:hyperlink>
          </w:p>
        </w:tc>
      </w:tr>
      <w:tr w:rsidR="0056305C">
        <w:tc>
          <w:tcPr>
            <w:tcW w:w="1576" w:type="dxa"/>
            <w:tcBorders>
              <w:top w:val="single" w:sz="4" w:space="0" w:color="auto"/>
              <w:bottom w:val="single" w:sz="4" w:space="0" w:color="auto"/>
            </w:tcBorders>
          </w:tcPr>
          <w:p w:rsidR="0056305C" w:rsidRDefault="0056305C">
            <w:pPr>
              <w:pStyle w:val="EarlierRepubEntries"/>
            </w:pPr>
            <w:r>
              <w:t>R12</w:t>
            </w:r>
            <w:r>
              <w:br/>
              <w:t>14 Oct 2015</w:t>
            </w:r>
          </w:p>
        </w:tc>
        <w:tc>
          <w:tcPr>
            <w:tcW w:w="1681" w:type="dxa"/>
            <w:tcBorders>
              <w:top w:val="single" w:sz="4" w:space="0" w:color="auto"/>
              <w:bottom w:val="single" w:sz="4" w:space="0" w:color="auto"/>
            </w:tcBorders>
          </w:tcPr>
          <w:p w:rsidR="0056305C" w:rsidRDefault="0056305C" w:rsidP="00D854C5">
            <w:pPr>
              <w:pStyle w:val="EarlierRepubEntries"/>
            </w:pPr>
            <w:r>
              <w:t>14 Oct 2015</w:t>
            </w:r>
            <w:r w:rsidR="008B038D">
              <w:t>–</w:t>
            </w:r>
            <w:r w:rsidR="008B038D">
              <w:br/>
            </w:r>
            <w:r>
              <w:t>30 Nov 2015</w:t>
            </w:r>
          </w:p>
        </w:tc>
        <w:tc>
          <w:tcPr>
            <w:tcW w:w="1783" w:type="dxa"/>
            <w:tcBorders>
              <w:top w:val="single" w:sz="4" w:space="0" w:color="auto"/>
              <w:bottom w:val="single" w:sz="4" w:space="0" w:color="auto"/>
            </w:tcBorders>
          </w:tcPr>
          <w:p w:rsidR="0056305C" w:rsidRDefault="00CF7DD8">
            <w:pPr>
              <w:pStyle w:val="EarlierRepubEntries"/>
            </w:pPr>
            <w:hyperlink r:id="rId322" w:tooltip="Red Tape Reduction Legislation Amendment Act 2015 " w:history="1">
              <w:r w:rsidR="0056305C" w:rsidRPr="0056305C">
                <w:rPr>
                  <w:rStyle w:val="charCitHyperlinkAbbrev"/>
                </w:rPr>
                <w:t>A2015-33</w:t>
              </w:r>
            </w:hyperlink>
          </w:p>
        </w:tc>
        <w:tc>
          <w:tcPr>
            <w:tcW w:w="1783" w:type="dxa"/>
            <w:tcBorders>
              <w:top w:val="single" w:sz="4" w:space="0" w:color="auto"/>
              <w:bottom w:val="single" w:sz="4" w:space="0" w:color="auto"/>
            </w:tcBorders>
          </w:tcPr>
          <w:p w:rsidR="0056305C" w:rsidRDefault="0056305C">
            <w:pPr>
              <w:pStyle w:val="EarlierRepubEntries"/>
            </w:pPr>
            <w:r>
              <w:t xml:space="preserve">amendments by </w:t>
            </w:r>
            <w:hyperlink r:id="rId323" w:tooltip="Red Tape Reduction Legislation Amendment Act 2015 " w:history="1">
              <w:r w:rsidRPr="0056305C">
                <w:rPr>
                  <w:rStyle w:val="charCitHyperlinkAbbrev"/>
                </w:rPr>
                <w:t>A2015-33</w:t>
              </w:r>
            </w:hyperlink>
          </w:p>
        </w:tc>
      </w:tr>
      <w:tr w:rsidR="00AE15F6" w:rsidTr="003311D3">
        <w:trPr>
          <w:cantSplit/>
        </w:trPr>
        <w:tc>
          <w:tcPr>
            <w:tcW w:w="1576" w:type="dxa"/>
            <w:tcBorders>
              <w:top w:val="single" w:sz="4" w:space="0" w:color="auto"/>
              <w:bottom w:val="single" w:sz="4" w:space="0" w:color="auto"/>
            </w:tcBorders>
          </w:tcPr>
          <w:p w:rsidR="00AE15F6" w:rsidRDefault="00AE15F6">
            <w:pPr>
              <w:pStyle w:val="EarlierRepubEntries"/>
            </w:pPr>
            <w:r>
              <w:lastRenderedPageBreak/>
              <w:t>R13</w:t>
            </w:r>
            <w:r>
              <w:br/>
            </w:r>
            <w:r w:rsidR="003311D3">
              <w:t>1 Dec 2015</w:t>
            </w:r>
          </w:p>
        </w:tc>
        <w:tc>
          <w:tcPr>
            <w:tcW w:w="1681" w:type="dxa"/>
            <w:tcBorders>
              <w:top w:val="single" w:sz="4" w:space="0" w:color="auto"/>
              <w:bottom w:val="single" w:sz="4" w:space="0" w:color="auto"/>
            </w:tcBorders>
          </w:tcPr>
          <w:p w:rsidR="00AE15F6" w:rsidRDefault="003311D3" w:rsidP="00D854C5">
            <w:pPr>
              <w:pStyle w:val="EarlierRepubEntries"/>
            </w:pPr>
            <w:r>
              <w:t>1 Dec 2015</w:t>
            </w:r>
            <w:r w:rsidR="008B038D">
              <w:t>–</w:t>
            </w:r>
            <w:r w:rsidR="008B038D">
              <w:br/>
            </w:r>
            <w:r>
              <w:t>15 May 2016</w:t>
            </w:r>
          </w:p>
        </w:tc>
        <w:tc>
          <w:tcPr>
            <w:tcW w:w="1783" w:type="dxa"/>
            <w:tcBorders>
              <w:top w:val="single" w:sz="4" w:space="0" w:color="auto"/>
              <w:bottom w:val="single" w:sz="4" w:space="0" w:color="auto"/>
            </w:tcBorders>
          </w:tcPr>
          <w:p w:rsidR="00AE15F6" w:rsidRDefault="00CF7DD8">
            <w:pPr>
              <w:pStyle w:val="EarlierRepubEntries"/>
            </w:pPr>
            <w:hyperlink r:id="rId324" w:tooltip="Gaming Machine Amendment Regulation 2015 (No 2)" w:history="1">
              <w:r w:rsidR="003311D3">
                <w:rPr>
                  <w:rStyle w:val="charCitHyperlinkAbbrev"/>
                </w:rPr>
                <w:t>SL2015</w:t>
              </w:r>
              <w:r w:rsidR="003311D3">
                <w:rPr>
                  <w:rStyle w:val="charCitHyperlinkAbbrev"/>
                </w:rPr>
                <w:noBreakHyphen/>
                <w:t>40</w:t>
              </w:r>
            </w:hyperlink>
          </w:p>
        </w:tc>
        <w:tc>
          <w:tcPr>
            <w:tcW w:w="1783" w:type="dxa"/>
            <w:tcBorders>
              <w:top w:val="single" w:sz="4" w:space="0" w:color="auto"/>
              <w:bottom w:val="single" w:sz="4" w:space="0" w:color="auto"/>
            </w:tcBorders>
          </w:tcPr>
          <w:p w:rsidR="00AE15F6" w:rsidRDefault="003311D3">
            <w:pPr>
              <w:pStyle w:val="EarlierRepubEntries"/>
            </w:pPr>
            <w:r>
              <w:t xml:space="preserve">expiry of provision (pt 9B) and amendments by </w:t>
            </w:r>
            <w:hyperlink r:id="rId325" w:tooltip="Gaming Machine Amendment Regulation 2015 (No 2)" w:history="1">
              <w:r>
                <w:rPr>
                  <w:rStyle w:val="charCitHyperlinkAbbrev"/>
                </w:rPr>
                <w:t>SL2015</w:t>
              </w:r>
              <w:r>
                <w:rPr>
                  <w:rStyle w:val="charCitHyperlinkAbbrev"/>
                </w:rPr>
                <w:noBreakHyphen/>
                <w:t>40</w:t>
              </w:r>
            </w:hyperlink>
          </w:p>
        </w:tc>
      </w:tr>
      <w:tr w:rsidR="00A53A62" w:rsidTr="003311D3">
        <w:trPr>
          <w:cantSplit/>
        </w:trPr>
        <w:tc>
          <w:tcPr>
            <w:tcW w:w="1576" w:type="dxa"/>
            <w:tcBorders>
              <w:top w:val="single" w:sz="4" w:space="0" w:color="auto"/>
              <w:bottom w:val="single" w:sz="4" w:space="0" w:color="auto"/>
            </w:tcBorders>
          </w:tcPr>
          <w:p w:rsidR="00A53A62" w:rsidRDefault="00A53A62">
            <w:pPr>
              <w:pStyle w:val="EarlierRepubEntries"/>
            </w:pPr>
            <w:r>
              <w:t>R14</w:t>
            </w:r>
            <w:r>
              <w:br/>
              <w:t>16 May 2016</w:t>
            </w:r>
          </w:p>
        </w:tc>
        <w:tc>
          <w:tcPr>
            <w:tcW w:w="1681" w:type="dxa"/>
            <w:tcBorders>
              <w:top w:val="single" w:sz="4" w:space="0" w:color="auto"/>
              <w:bottom w:val="single" w:sz="4" w:space="0" w:color="auto"/>
            </w:tcBorders>
          </w:tcPr>
          <w:p w:rsidR="00A53A62" w:rsidRDefault="00A53A62" w:rsidP="00D854C5">
            <w:pPr>
              <w:pStyle w:val="EarlierRepubEntries"/>
            </w:pPr>
            <w:r>
              <w:t>16 May 2016</w:t>
            </w:r>
            <w:r w:rsidR="008B038D">
              <w:t>–</w:t>
            </w:r>
            <w:r w:rsidR="008B038D">
              <w:br/>
            </w:r>
            <w:r>
              <w:t>31 Aug 2016</w:t>
            </w:r>
          </w:p>
        </w:tc>
        <w:tc>
          <w:tcPr>
            <w:tcW w:w="1783" w:type="dxa"/>
            <w:tcBorders>
              <w:top w:val="single" w:sz="4" w:space="0" w:color="auto"/>
              <w:bottom w:val="single" w:sz="4" w:space="0" w:color="auto"/>
            </w:tcBorders>
          </w:tcPr>
          <w:p w:rsidR="00A53A62" w:rsidRDefault="00CF7DD8">
            <w:pPr>
              <w:pStyle w:val="EarlierRepubEntries"/>
            </w:pPr>
            <w:hyperlink r:id="rId326" w:tooltip="Gaming Machine (Ballots) Amendment Regulation 2016 (No 1)" w:history="1">
              <w:r w:rsidR="00A53A62">
                <w:rPr>
                  <w:rStyle w:val="charCitHyperlinkAbbrev"/>
                </w:rPr>
                <w:t>SL2016</w:t>
              </w:r>
              <w:r w:rsidR="00A53A62">
                <w:rPr>
                  <w:rStyle w:val="charCitHyperlinkAbbrev"/>
                </w:rPr>
                <w:noBreakHyphen/>
                <w:t>11</w:t>
              </w:r>
            </w:hyperlink>
          </w:p>
        </w:tc>
        <w:tc>
          <w:tcPr>
            <w:tcW w:w="1783" w:type="dxa"/>
            <w:tcBorders>
              <w:top w:val="single" w:sz="4" w:space="0" w:color="auto"/>
              <w:bottom w:val="single" w:sz="4" w:space="0" w:color="auto"/>
            </w:tcBorders>
          </w:tcPr>
          <w:p w:rsidR="00A53A62" w:rsidRDefault="00A53A62">
            <w:pPr>
              <w:pStyle w:val="EarlierRepubEntries"/>
            </w:pPr>
            <w:r>
              <w:t xml:space="preserve">amendments by </w:t>
            </w:r>
            <w:hyperlink r:id="rId327" w:tooltip="Gaming Machine (Ballots) Amendment Regulation 2016 (No 1)" w:history="1">
              <w:r>
                <w:rPr>
                  <w:rStyle w:val="charCitHyperlinkAbbrev"/>
                </w:rPr>
                <w:t>SL2016</w:t>
              </w:r>
              <w:r>
                <w:rPr>
                  <w:rStyle w:val="charCitHyperlinkAbbrev"/>
                </w:rPr>
                <w:noBreakHyphen/>
                <w:t>11</w:t>
              </w:r>
            </w:hyperlink>
          </w:p>
        </w:tc>
      </w:tr>
      <w:tr w:rsidR="0004633D" w:rsidTr="003311D3">
        <w:trPr>
          <w:cantSplit/>
        </w:trPr>
        <w:tc>
          <w:tcPr>
            <w:tcW w:w="1576" w:type="dxa"/>
            <w:tcBorders>
              <w:top w:val="single" w:sz="4" w:space="0" w:color="auto"/>
              <w:bottom w:val="single" w:sz="4" w:space="0" w:color="auto"/>
            </w:tcBorders>
          </w:tcPr>
          <w:p w:rsidR="0004633D" w:rsidRDefault="0004633D">
            <w:pPr>
              <w:pStyle w:val="EarlierRepubEntries"/>
            </w:pPr>
            <w:r>
              <w:t>R15</w:t>
            </w:r>
            <w:r>
              <w:br/>
              <w:t>1 Sept 2016</w:t>
            </w:r>
          </w:p>
        </w:tc>
        <w:tc>
          <w:tcPr>
            <w:tcW w:w="1681" w:type="dxa"/>
            <w:tcBorders>
              <w:top w:val="single" w:sz="4" w:space="0" w:color="auto"/>
              <w:bottom w:val="single" w:sz="4" w:space="0" w:color="auto"/>
            </w:tcBorders>
          </w:tcPr>
          <w:p w:rsidR="0004633D" w:rsidRDefault="0004633D" w:rsidP="00D854C5">
            <w:pPr>
              <w:pStyle w:val="EarlierRepubEntries"/>
            </w:pPr>
            <w:r>
              <w:t>1 Sept 2016</w:t>
            </w:r>
            <w:r w:rsidR="008B038D">
              <w:t>–</w:t>
            </w:r>
            <w:r w:rsidR="008B038D">
              <w:br/>
            </w:r>
            <w:r>
              <w:t>31 Aug 2017</w:t>
            </w:r>
          </w:p>
        </w:tc>
        <w:tc>
          <w:tcPr>
            <w:tcW w:w="1783" w:type="dxa"/>
            <w:tcBorders>
              <w:top w:val="single" w:sz="4" w:space="0" w:color="auto"/>
              <w:bottom w:val="single" w:sz="4" w:space="0" w:color="auto"/>
            </w:tcBorders>
          </w:tcPr>
          <w:p w:rsidR="0004633D" w:rsidRDefault="00CF7DD8">
            <w:pPr>
              <w:pStyle w:val="EarlierRepubEntries"/>
            </w:pPr>
            <w:hyperlink r:id="rId328" w:tooltip="Gaming and Racing (Red Tape Reduction) Legislation Amendment Act 2016" w:history="1">
              <w:r w:rsidR="0004633D" w:rsidRPr="0004633D">
                <w:rPr>
                  <w:rStyle w:val="charCitHyperlinkAbbrev"/>
                </w:rPr>
                <w:t>A2016-45</w:t>
              </w:r>
            </w:hyperlink>
          </w:p>
        </w:tc>
        <w:tc>
          <w:tcPr>
            <w:tcW w:w="1783" w:type="dxa"/>
            <w:tcBorders>
              <w:top w:val="single" w:sz="4" w:space="0" w:color="auto"/>
              <w:bottom w:val="single" w:sz="4" w:space="0" w:color="auto"/>
            </w:tcBorders>
          </w:tcPr>
          <w:p w:rsidR="0004633D" w:rsidRDefault="00CB5685">
            <w:pPr>
              <w:pStyle w:val="EarlierRepubEntries"/>
            </w:pPr>
            <w:r>
              <w:t xml:space="preserve">amendments by </w:t>
            </w:r>
            <w:hyperlink r:id="rId329" w:tooltip="Gaming and Racing (Red Tape Reduction) Legislation Amendment Act 2016" w:history="1">
              <w:r w:rsidR="0004633D" w:rsidRPr="0004633D">
                <w:rPr>
                  <w:rStyle w:val="charCitHyperlinkAbbrev"/>
                </w:rPr>
                <w:t>A2016-45</w:t>
              </w:r>
            </w:hyperlink>
          </w:p>
        </w:tc>
      </w:tr>
      <w:tr w:rsidR="008B038D" w:rsidTr="003311D3">
        <w:trPr>
          <w:cantSplit/>
        </w:trPr>
        <w:tc>
          <w:tcPr>
            <w:tcW w:w="1576" w:type="dxa"/>
            <w:tcBorders>
              <w:top w:val="single" w:sz="4" w:space="0" w:color="auto"/>
              <w:bottom w:val="single" w:sz="4" w:space="0" w:color="auto"/>
            </w:tcBorders>
          </w:tcPr>
          <w:p w:rsidR="008B038D" w:rsidRDefault="008B038D">
            <w:pPr>
              <w:pStyle w:val="EarlierRepubEntries"/>
            </w:pPr>
            <w:r>
              <w:t>R16</w:t>
            </w:r>
            <w:r>
              <w:br/>
              <w:t>1 Sept 2017</w:t>
            </w:r>
          </w:p>
        </w:tc>
        <w:tc>
          <w:tcPr>
            <w:tcW w:w="1681" w:type="dxa"/>
            <w:tcBorders>
              <w:top w:val="single" w:sz="4" w:space="0" w:color="auto"/>
              <w:bottom w:val="single" w:sz="4" w:space="0" w:color="auto"/>
            </w:tcBorders>
          </w:tcPr>
          <w:p w:rsidR="008B038D" w:rsidRDefault="008B038D" w:rsidP="00D854C5">
            <w:pPr>
              <w:pStyle w:val="EarlierRepubEntries"/>
            </w:pPr>
            <w:r>
              <w:t>1 Sept 2017–</w:t>
            </w:r>
            <w:r>
              <w:br/>
            </w:r>
            <w:r w:rsidR="0032371E">
              <w:t>10 Dec 2018</w:t>
            </w:r>
          </w:p>
        </w:tc>
        <w:tc>
          <w:tcPr>
            <w:tcW w:w="1783" w:type="dxa"/>
            <w:tcBorders>
              <w:top w:val="single" w:sz="4" w:space="0" w:color="auto"/>
              <w:bottom w:val="single" w:sz="4" w:space="0" w:color="auto"/>
            </w:tcBorders>
          </w:tcPr>
          <w:p w:rsidR="008B038D" w:rsidRDefault="00CF7DD8">
            <w:pPr>
              <w:pStyle w:val="EarlierRepubEntries"/>
              <w:rPr>
                <w:rStyle w:val="charCitHyperlinkAbbrev"/>
              </w:rPr>
            </w:pPr>
            <w:hyperlink r:id="rId330" w:tooltip="Gaming Machine (Cash Facilities) Amendment Act 2017" w:history="1">
              <w:r w:rsidR="008B038D">
                <w:rPr>
                  <w:rStyle w:val="charCitHyperlinkAbbrev"/>
                </w:rPr>
                <w:t>A2017</w:t>
              </w:r>
              <w:r w:rsidR="008B038D">
                <w:rPr>
                  <w:rStyle w:val="charCitHyperlinkAbbrev"/>
                </w:rPr>
                <w:noBreakHyphen/>
                <w:t>25</w:t>
              </w:r>
            </w:hyperlink>
          </w:p>
        </w:tc>
        <w:tc>
          <w:tcPr>
            <w:tcW w:w="1783" w:type="dxa"/>
            <w:tcBorders>
              <w:top w:val="single" w:sz="4" w:space="0" w:color="auto"/>
              <w:bottom w:val="single" w:sz="4" w:space="0" w:color="auto"/>
            </w:tcBorders>
          </w:tcPr>
          <w:p w:rsidR="008B038D" w:rsidRDefault="008B038D">
            <w:pPr>
              <w:pStyle w:val="EarlierRepubEntries"/>
            </w:pPr>
            <w:r>
              <w:t xml:space="preserve">amendments by </w:t>
            </w:r>
            <w:hyperlink r:id="rId331" w:tooltip="Gaming Machine (Cash Facilities) Amendment Act 2017" w:history="1">
              <w:r>
                <w:rPr>
                  <w:rStyle w:val="charCitHyperlinkAbbrev"/>
                </w:rPr>
                <w:t>A2017</w:t>
              </w:r>
              <w:r>
                <w:rPr>
                  <w:rStyle w:val="charCitHyperlinkAbbrev"/>
                </w:rPr>
                <w:noBreakHyphen/>
                <w:t>25</w:t>
              </w:r>
            </w:hyperlink>
          </w:p>
        </w:tc>
      </w:tr>
    </w:tbl>
    <w:p w:rsidR="009720B3" w:rsidRDefault="009720B3">
      <w:pPr>
        <w:pStyle w:val="05EndNote"/>
        <w:sectPr w:rsidR="009720B3">
          <w:headerReference w:type="even" r:id="rId332"/>
          <w:headerReference w:type="default" r:id="rId333"/>
          <w:footerReference w:type="even" r:id="rId334"/>
          <w:footerReference w:type="default" r:id="rId335"/>
          <w:pgSz w:w="11907" w:h="16839" w:code="9"/>
          <w:pgMar w:top="3000" w:right="1900" w:bottom="2500" w:left="2300" w:header="2480" w:footer="2100" w:gutter="0"/>
          <w:cols w:space="720"/>
          <w:docGrid w:linePitch="254"/>
        </w:sectPr>
      </w:pPr>
    </w:p>
    <w:p w:rsidR="009720B3" w:rsidRDefault="009720B3"/>
    <w:p w:rsidR="00F921DC" w:rsidRDefault="00F921DC"/>
    <w:p w:rsidR="00F921DC" w:rsidRDefault="00F921DC"/>
    <w:p w:rsidR="00F921DC" w:rsidRDefault="00F921DC"/>
    <w:p w:rsidR="00F921DC" w:rsidRDefault="00F921DC"/>
    <w:p w:rsidR="00F921DC" w:rsidRDefault="00F921DC"/>
    <w:p w:rsidR="00F921DC" w:rsidRDefault="00F921DC"/>
    <w:p w:rsidR="009720B3" w:rsidRPr="00E46293" w:rsidRDefault="009720B3">
      <w:pPr>
        <w:rPr>
          <w:color w:val="000000"/>
          <w:sz w:val="22"/>
        </w:rPr>
      </w:pPr>
      <w:r>
        <w:rPr>
          <w:color w:val="000000"/>
          <w:sz w:val="22"/>
        </w:rPr>
        <w:t xml:space="preserve">©  Australian Capital Territory </w:t>
      </w:r>
      <w:r w:rsidR="0032371E">
        <w:rPr>
          <w:noProof/>
          <w:color w:val="000000"/>
          <w:sz w:val="22"/>
        </w:rPr>
        <w:t>2018</w:t>
      </w:r>
    </w:p>
    <w:p w:rsidR="009720B3" w:rsidRDefault="009720B3">
      <w:pPr>
        <w:pStyle w:val="06Copyright"/>
        <w:sectPr w:rsidR="009720B3">
          <w:headerReference w:type="even" r:id="rId336"/>
          <w:headerReference w:type="default" r:id="rId337"/>
          <w:footerReference w:type="even" r:id="rId338"/>
          <w:footerReference w:type="default" r:id="rId339"/>
          <w:headerReference w:type="first" r:id="rId340"/>
          <w:footerReference w:type="first" r:id="rId341"/>
          <w:type w:val="continuous"/>
          <w:pgSz w:w="11907" w:h="16839" w:code="9"/>
          <w:pgMar w:top="3000" w:right="1900" w:bottom="2500" w:left="2300" w:header="2480" w:footer="2100" w:gutter="0"/>
          <w:pgNumType w:fmt="lowerRoman"/>
          <w:cols w:space="720"/>
          <w:titlePg/>
          <w:docGrid w:linePitch="254"/>
        </w:sectPr>
      </w:pPr>
    </w:p>
    <w:p w:rsidR="009720B3" w:rsidRDefault="009720B3"/>
    <w:sectPr w:rsidR="009720B3" w:rsidSect="000333A2">
      <w:headerReference w:type="first" r:id="rId342"/>
      <w:footerReference w:type="first" r:id="rId34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E0E" w:rsidRDefault="00402E0E" w:rsidP="009720B3">
      <w:pPr>
        <w:pStyle w:val="aExamHdgss"/>
      </w:pPr>
      <w:r>
        <w:separator/>
      </w:r>
    </w:p>
  </w:endnote>
  <w:endnote w:type="continuationSeparator" w:id="0">
    <w:p w:rsidR="00402E0E" w:rsidRDefault="00402E0E" w:rsidP="009720B3">
      <w:pPr>
        <w:pStyle w:val="aExamHdg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Pr="00CF7DD8" w:rsidRDefault="00FD1C42" w:rsidP="00CF7DD8">
    <w:pPr>
      <w:pStyle w:val="Footer"/>
      <w:jc w:val="center"/>
      <w:rPr>
        <w:rFonts w:cs="Arial"/>
        <w:sz w:val="14"/>
      </w:rPr>
    </w:pPr>
    <w:r w:rsidRPr="00CF7DD8">
      <w:rPr>
        <w:rFonts w:cs="Arial"/>
        <w:sz w:val="14"/>
      </w:rPr>
      <w:fldChar w:fldCharType="begin"/>
    </w:r>
    <w:r w:rsidRPr="00CF7DD8">
      <w:rPr>
        <w:rFonts w:cs="Arial"/>
        <w:sz w:val="14"/>
      </w:rPr>
      <w:instrText xml:space="preserve"> DOCPROPERTY "Status" </w:instrText>
    </w:r>
    <w:r w:rsidRPr="00CF7DD8">
      <w:rPr>
        <w:rFonts w:cs="Arial"/>
        <w:sz w:val="14"/>
      </w:rPr>
      <w:fldChar w:fldCharType="separate"/>
    </w:r>
    <w:r w:rsidR="008070C0" w:rsidRPr="00CF7DD8">
      <w:rPr>
        <w:rFonts w:cs="Arial"/>
        <w:sz w:val="14"/>
      </w:rPr>
      <w:t xml:space="preserve"> </w:t>
    </w:r>
    <w:r w:rsidRPr="00CF7DD8">
      <w:rPr>
        <w:rFonts w:cs="Arial"/>
        <w:sz w:val="14"/>
      </w:rPr>
      <w:fldChar w:fldCharType="end"/>
    </w:r>
    <w:r w:rsidR="00CF7DD8" w:rsidRPr="00CF7DD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1C42">
      <w:tc>
        <w:tcPr>
          <w:tcW w:w="847" w:type="pct"/>
        </w:tcPr>
        <w:p w:rsidR="00FD1C42" w:rsidRDefault="00FD1C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33BC5">
            <w:rPr>
              <w:rStyle w:val="PageNumber"/>
              <w:noProof/>
            </w:rPr>
            <w:t>58</w:t>
          </w:r>
          <w:r>
            <w:rPr>
              <w:rStyle w:val="PageNumber"/>
            </w:rPr>
            <w:fldChar w:fldCharType="end"/>
          </w:r>
        </w:p>
      </w:tc>
      <w:tc>
        <w:tcPr>
          <w:tcW w:w="3092" w:type="pct"/>
        </w:tcPr>
        <w:p w:rsidR="00FD1C42" w:rsidRDefault="00CF7DD8">
          <w:pPr>
            <w:pStyle w:val="Footer"/>
            <w:jc w:val="center"/>
          </w:pPr>
          <w:r>
            <w:fldChar w:fldCharType="begin"/>
          </w:r>
          <w:r>
            <w:instrText xml:space="preserve"> REF Citation *\charformat </w:instrText>
          </w:r>
          <w:r>
            <w:fldChar w:fldCharType="separate"/>
          </w:r>
          <w:r w:rsidR="008070C0">
            <w:t>Gaming Machine Regulation 2004</w:t>
          </w:r>
          <w:r>
            <w:fldChar w:fldCharType="end"/>
          </w:r>
        </w:p>
        <w:p w:rsidR="00FD1C42" w:rsidRDefault="00CF7DD8">
          <w:pPr>
            <w:pStyle w:val="FooterInfoCentre"/>
          </w:pPr>
          <w:r>
            <w:fldChar w:fldCharType="begin"/>
          </w:r>
          <w:r>
            <w:instrText xml:space="preserve"> DOCPROPERTY "Eff"  *\charformat </w:instrText>
          </w:r>
          <w:r>
            <w:fldChar w:fldCharType="separate"/>
          </w:r>
          <w:r w:rsidR="008070C0">
            <w:t xml:space="preserve">Effective:  </w:t>
          </w:r>
          <w:r>
            <w:fldChar w:fldCharType="end"/>
          </w:r>
          <w:r>
            <w:fldChar w:fldCharType="begin"/>
          </w:r>
          <w:r>
            <w:instrText xml:space="preserve"> DOCPROPERTY "StartDt"  *\charformat </w:instrText>
          </w:r>
          <w:r>
            <w:fldChar w:fldCharType="separate"/>
          </w:r>
          <w:r w:rsidR="008070C0">
            <w:t>11/12/18</w:t>
          </w:r>
          <w:r>
            <w:fldChar w:fldCharType="end"/>
          </w:r>
          <w:r>
            <w:fldChar w:fldCharType="begin"/>
          </w:r>
          <w:r>
            <w:instrText xml:space="preserve"> DOCPROPERTY "EndDt"  *\charformat </w:instrText>
          </w:r>
          <w:r>
            <w:fldChar w:fldCharType="separate"/>
          </w:r>
          <w:r w:rsidR="008070C0">
            <w:t>-30/06/19</w:t>
          </w:r>
          <w:r>
            <w:fldChar w:fldCharType="end"/>
          </w:r>
        </w:p>
      </w:tc>
      <w:tc>
        <w:tcPr>
          <w:tcW w:w="1061" w:type="pct"/>
        </w:tcPr>
        <w:p w:rsidR="00FD1C42" w:rsidRDefault="00CF7DD8">
          <w:pPr>
            <w:pStyle w:val="Footer"/>
            <w:jc w:val="right"/>
          </w:pPr>
          <w:r>
            <w:fldChar w:fldCharType="begin"/>
          </w:r>
          <w:r>
            <w:instrText xml:space="preserve"> DOCPROPERTY "Category"  *\charformat  </w:instrText>
          </w:r>
          <w:r>
            <w:fldChar w:fldCharType="separate"/>
          </w:r>
          <w:r w:rsidR="008070C0">
            <w:t>R17</w:t>
          </w:r>
          <w:r>
            <w:fldChar w:fldCharType="end"/>
          </w:r>
          <w:r w:rsidR="00FD1C42">
            <w:br/>
          </w:r>
          <w:r>
            <w:fldChar w:fldCharType="begin"/>
          </w:r>
          <w:r>
            <w:instrText xml:space="preserve"> DOCPROPERTY "RepubDt"  *\charformat  </w:instrText>
          </w:r>
          <w:r>
            <w:fldChar w:fldCharType="separate"/>
          </w:r>
          <w:r w:rsidR="008070C0">
            <w:t>11/12/18</w:t>
          </w:r>
          <w:r>
            <w:fldChar w:fldCharType="end"/>
          </w:r>
        </w:p>
      </w:tc>
    </w:tr>
  </w:tbl>
  <w:p w:rsidR="00FD1C42" w:rsidRPr="00CF7DD8" w:rsidRDefault="00CF7DD8" w:rsidP="00CF7DD8">
    <w:pPr>
      <w:pStyle w:val="Status"/>
      <w:rPr>
        <w:rFonts w:cs="Arial"/>
      </w:rPr>
    </w:pPr>
    <w:r w:rsidRPr="00CF7DD8">
      <w:rPr>
        <w:rFonts w:cs="Arial"/>
      </w:rPr>
      <w:fldChar w:fldCharType="begin"/>
    </w:r>
    <w:r w:rsidRPr="00CF7DD8">
      <w:rPr>
        <w:rFonts w:cs="Arial"/>
      </w:rPr>
      <w:instrText xml:space="preserve"> DOCPROPERTY "Status" </w:instrText>
    </w:r>
    <w:r w:rsidRPr="00CF7DD8">
      <w:rPr>
        <w:rFonts w:cs="Arial"/>
      </w:rPr>
      <w:fldChar w:fldCharType="separate"/>
    </w:r>
    <w:r w:rsidR="008070C0" w:rsidRPr="00CF7DD8">
      <w:rPr>
        <w:rFonts w:cs="Arial"/>
      </w:rPr>
      <w:t xml:space="preserve"> </w:t>
    </w:r>
    <w:r w:rsidRPr="00CF7DD8">
      <w:rPr>
        <w:rFonts w:cs="Arial"/>
      </w:rPr>
      <w:fldChar w:fldCharType="end"/>
    </w:r>
    <w:r w:rsidRPr="00CF7DD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1C42">
      <w:tc>
        <w:tcPr>
          <w:tcW w:w="1061" w:type="pct"/>
        </w:tcPr>
        <w:p w:rsidR="00FD1C42" w:rsidRDefault="00CF7DD8">
          <w:pPr>
            <w:pStyle w:val="Footer"/>
          </w:pPr>
          <w:r>
            <w:fldChar w:fldCharType="begin"/>
          </w:r>
          <w:r>
            <w:instrText xml:space="preserve"> DOCPROPERTY "Category"  *\charformat  </w:instrText>
          </w:r>
          <w:r>
            <w:fldChar w:fldCharType="separate"/>
          </w:r>
          <w:r w:rsidR="008070C0">
            <w:t>R17</w:t>
          </w:r>
          <w:r>
            <w:fldChar w:fldCharType="end"/>
          </w:r>
          <w:r w:rsidR="00FD1C42">
            <w:br/>
          </w:r>
          <w:r>
            <w:fldChar w:fldCharType="begin"/>
          </w:r>
          <w:r>
            <w:instrText xml:space="preserve"> DOCPROPERTY "RepubDt"  *\charformat  </w:instrText>
          </w:r>
          <w:r>
            <w:fldChar w:fldCharType="separate"/>
          </w:r>
          <w:r w:rsidR="008070C0">
            <w:t>11/12/18</w:t>
          </w:r>
          <w:r>
            <w:fldChar w:fldCharType="end"/>
          </w:r>
        </w:p>
      </w:tc>
      <w:tc>
        <w:tcPr>
          <w:tcW w:w="3092" w:type="pct"/>
        </w:tcPr>
        <w:p w:rsidR="00FD1C42" w:rsidRDefault="00CF7DD8">
          <w:pPr>
            <w:pStyle w:val="Footer"/>
            <w:jc w:val="center"/>
          </w:pPr>
          <w:r>
            <w:fldChar w:fldCharType="begin"/>
          </w:r>
          <w:r>
            <w:instrText xml:space="preserve"> REF Citation *\charformat </w:instrText>
          </w:r>
          <w:r>
            <w:fldChar w:fldCharType="separate"/>
          </w:r>
          <w:r w:rsidR="008070C0">
            <w:t>Gaming Machine Regulation 2004</w:t>
          </w:r>
          <w:r>
            <w:fldChar w:fldCharType="end"/>
          </w:r>
        </w:p>
        <w:p w:rsidR="00FD1C42" w:rsidRDefault="00CF7DD8">
          <w:pPr>
            <w:pStyle w:val="FooterInfoCentre"/>
          </w:pPr>
          <w:r>
            <w:fldChar w:fldCharType="begin"/>
          </w:r>
          <w:r>
            <w:instrText xml:space="preserve"> DOCPROPERTY "Eff"  *\charformat </w:instrText>
          </w:r>
          <w:r>
            <w:fldChar w:fldCharType="separate"/>
          </w:r>
          <w:r w:rsidR="008070C0">
            <w:t xml:space="preserve">Effective:  </w:t>
          </w:r>
          <w:r>
            <w:fldChar w:fldCharType="end"/>
          </w:r>
          <w:r>
            <w:fldChar w:fldCharType="begin"/>
          </w:r>
          <w:r>
            <w:instrText xml:space="preserve"> DOCPROPERTY "StartDt"  *\charformat </w:instrText>
          </w:r>
          <w:r>
            <w:fldChar w:fldCharType="separate"/>
          </w:r>
          <w:r w:rsidR="008070C0">
            <w:t>11/12/18</w:t>
          </w:r>
          <w:r>
            <w:fldChar w:fldCharType="end"/>
          </w:r>
          <w:r>
            <w:fldChar w:fldCharType="begin"/>
          </w:r>
          <w:r>
            <w:instrText xml:space="preserve"> DOCPROPERTY "EndDt"  *\charformat </w:instrText>
          </w:r>
          <w:r>
            <w:fldChar w:fldCharType="separate"/>
          </w:r>
          <w:r w:rsidR="008070C0">
            <w:t>-30/06/19</w:t>
          </w:r>
          <w:r>
            <w:fldChar w:fldCharType="end"/>
          </w:r>
        </w:p>
      </w:tc>
      <w:tc>
        <w:tcPr>
          <w:tcW w:w="847" w:type="pct"/>
        </w:tcPr>
        <w:p w:rsidR="00FD1C42" w:rsidRDefault="00FD1C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33BC5">
            <w:rPr>
              <w:rStyle w:val="PageNumber"/>
              <w:noProof/>
            </w:rPr>
            <w:t>59</w:t>
          </w:r>
          <w:r>
            <w:rPr>
              <w:rStyle w:val="PageNumber"/>
            </w:rPr>
            <w:fldChar w:fldCharType="end"/>
          </w:r>
        </w:p>
      </w:tc>
    </w:tr>
  </w:tbl>
  <w:p w:rsidR="00FD1C42" w:rsidRPr="00CF7DD8" w:rsidRDefault="00CF7DD8" w:rsidP="00CF7DD8">
    <w:pPr>
      <w:pStyle w:val="Status"/>
      <w:rPr>
        <w:rFonts w:cs="Arial"/>
      </w:rPr>
    </w:pPr>
    <w:r w:rsidRPr="00CF7DD8">
      <w:rPr>
        <w:rFonts w:cs="Arial"/>
      </w:rPr>
      <w:fldChar w:fldCharType="begin"/>
    </w:r>
    <w:r w:rsidRPr="00CF7DD8">
      <w:rPr>
        <w:rFonts w:cs="Arial"/>
      </w:rPr>
      <w:instrText xml:space="preserve"> DOCPROPERTY "Status" </w:instrText>
    </w:r>
    <w:r w:rsidRPr="00CF7DD8">
      <w:rPr>
        <w:rFonts w:cs="Arial"/>
      </w:rPr>
      <w:fldChar w:fldCharType="separate"/>
    </w:r>
    <w:r w:rsidR="008070C0" w:rsidRPr="00CF7DD8">
      <w:rPr>
        <w:rFonts w:cs="Arial"/>
      </w:rPr>
      <w:t xml:space="preserve"> </w:t>
    </w:r>
    <w:r w:rsidRPr="00CF7DD8">
      <w:rPr>
        <w:rFonts w:cs="Arial"/>
      </w:rPr>
      <w:fldChar w:fldCharType="end"/>
    </w:r>
    <w:r w:rsidRPr="00CF7DD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1C42">
      <w:tc>
        <w:tcPr>
          <w:tcW w:w="847" w:type="pct"/>
        </w:tcPr>
        <w:p w:rsidR="00FD1C42" w:rsidRDefault="00FD1C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33BC5">
            <w:rPr>
              <w:rStyle w:val="PageNumber"/>
              <w:noProof/>
            </w:rPr>
            <w:t>72</w:t>
          </w:r>
          <w:r>
            <w:rPr>
              <w:rStyle w:val="PageNumber"/>
            </w:rPr>
            <w:fldChar w:fldCharType="end"/>
          </w:r>
        </w:p>
      </w:tc>
      <w:tc>
        <w:tcPr>
          <w:tcW w:w="3092" w:type="pct"/>
        </w:tcPr>
        <w:p w:rsidR="00FD1C42" w:rsidRDefault="00CF7DD8">
          <w:pPr>
            <w:pStyle w:val="Footer"/>
            <w:jc w:val="center"/>
          </w:pPr>
          <w:r>
            <w:fldChar w:fldCharType="begin"/>
          </w:r>
          <w:r>
            <w:instrText xml:space="preserve"> REF Citation *\charformat </w:instrText>
          </w:r>
          <w:r>
            <w:fldChar w:fldCharType="separate"/>
          </w:r>
          <w:r w:rsidR="008070C0">
            <w:t>Gaming Machine Regulation 2004</w:t>
          </w:r>
          <w:r>
            <w:fldChar w:fldCharType="end"/>
          </w:r>
        </w:p>
        <w:p w:rsidR="00FD1C42" w:rsidRDefault="00CF7DD8">
          <w:pPr>
            <w:pStyle w:val="FooterInfoCentre"/>
          </w:pPr>
          <w:r>
            <w:fldChar w:fldCharType="begin"/>
          </w:r>
          <w:r>
            <w:instrText xml:space="preserve"> DOCPROPERTY "Eff"  *\charformat </w:instrText>
          </w:r>
          <w:r>
            <w:fldChar w:fldCharType="separate"/>
          </w:r>
          <w:r w:rsidR="008070C0">
            <w:t xml:space="preserve">Effective:  </w:t>
          </w:r>
          <w:r>
            <w:fldChar w:fldCharType="end"/>
          </w:r>
          <w:r>
            <w:fldChar w:fldCharType="begin"/>
          </w:r>
          <w:r>
            <w:instrText xml:space="preserve"> DOCPROPERTY "StartDt"  *\charformat </w:instrText>
          </w:r>
          <w:r>
            <w:fldChar w:fldCharType="separate"/>
          </w:r>
          <w:r w:rsidR="008070C0">
            <w:t>11/12/18</w:t>
          </w:r>
          <w:r>
            <w:fldChar w:fldCharType="end"/>
          </w:r>
          <w:r>
            <w:fldChar w:fldCharType="begin"/>
          </w:r>
          <w:r>
            <w:instrText xml:space="preserve"> DOCPROPERTY "EndDt"  *\charformat </w:instrText>
          </w:r>
          <w:r>
            <w:fldChar w:fldCharType="separate"/>
          </w:r>
          <w:r w:rsidR="008070C0">
            <w:t>-30/06/19</w:t>
          </w:r>
          <w:r>
            <w:fldChar w:fldCharType="end"/>
          </w:r>
        </w:p>
      </w:tc>
      <w:tc>
        <w:tcPr>
          <w:tcW w:w="1061" w:type="pct"/>
        </w:tcPr>
        <w:p w:rsidR="00FD1C42" w:rsidRDefault="00CF7DD8">
          <w:pPr>
            <w:pStyle w:val="Footer"/>
            <w:jc w:val="right"/>
          </w:pPr>
          <w:r>
            <w:fldChar w:fldCharType="begin"/>
          </w:r>
          <w:r>
            <w:instrText xml:space="preserve"> DOCPROPERTY "Category"  *\charformat  </w:instrText>
          </w:r>
          <w:r>
            <w:fldChar w:fldCharType="separate"/>
          </w:r>
          <w:r w:rsidR="008070C0">
            <w:t>R17</w:t>
          </w:r>
          <w:r>
            <w:fldChar w:fldCharType="end"/>
          </w:r>
          <w:r w:rsidR="00FD1C42">
            <w:br/>
          </w:r>
          <w:r>
            <w:fldChar w:fldCharType="begin"/>
          </w:r>
          <w:r>
            <w:instrText xml:space="preserve"> DOCPROPERTY "RepubDt"  *\charformat  </w:instrText>
          </w:r>
          <w:r>
            <w:fldChar w:fldCharType="separate"/>
          </w:r>
          <w:r w:rsidR="008070C0">
            <w:t>11/12/18</w:t>
          </w:r>
          <w:r>
            <w:fldChar w:fldCharType="end"/>
          </w:r>
        </w:p>
      </w:tc>
    </w:tr>
  </w:tbl>
  <w:p w:rsidR="00FD1C42" w:rsidRPr="00CF7DD8" w:rsidRDefault="00CF7DD8" w:rsidP="00CF7DD8">
    <w:pPr>
      <w:pStyle w:val="Status"/>
      <w:rPr>
        <w:rFonts w:cs="Arial"/>
      </w:rPr>
    </w:pPr>
    <w:r w:rsidRPr="00CF7DD8">
      <w:rPr>
        <w:rFonts w:cs="Arial"/>
      </w:rPr>
      <w:fldChar w:fldCharType="begin"/>
    </w:r>
    <w:r w:rsidRPr="00CF7DD8">
      <w:rPr>
        <w:rFonts w:cs="Arial"/>
      </w:rPr>
      <w:instrText xml:space="preserve"> DOCPROPERTY "Status" </w:instrText>
    </w:r>
    <w:r w:rsidRPr="00CF7DD8">
      <w:rPr>
        <w:rFonts w:cs="Arial"/>
      </w:rPr>
      <w:fldChar w:fldCharType="separate"/>
    </w:r>
    <w:r w:rsidR="008070C0" w:rsidRPr="00CF7DD8">
      <w:rPr>
        <w:rFonts w:cs="Arial"/>
      </w:rPr>
      <w:t xml:space="preserve"> </w:t>
    </w:r>
    <w:r w:rsidRPr="00CF7DD8">
      <w:rPr>
        <w:rFonts w:cs="Arial"/>
      </w:rPr>
      <w:fldChar w:fldCharType="end"/>
    </w:r>
    <w:r w:rsidRPr="00CF7DD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1C42">
      <w:tc>
        <w:tcPr>
          <w:tcW w:w="1061" w:type="pct"/>
        </w:tcPr>
        <w:p w:rsidR="00FD1C42" w:rsidRDefault="00CF7DD8">
          <w:pPr>
            <w:pStyle w:val="Footer"/>
          </w:pPr>
          <w:r>
            <w:fldChar w:fldCharType="begin"/>
          </w:r>
          <w:r>
            <w:instrText xml:space="preserve"> DOCPROPERTY "Category"  *\charformat  </w:instrText>
          </w:r>
          <w:r>
            <w:fldChar w:fldCharType="separate"/>
          </w:r>
          <w:r w:rsidR="008070C0">
            <w:t>R17</w:t>
          </w:r>
          <w:r>
            <w:fldChar w:fldCharType="end"/>
          </w:r>
          <w:r w:rsidR="00FD1C42">
            <w:br/>
          </w:r>
          <w:r>
            <w:fldChar w:fldCharType="begin"/>
          </w:r>
          <w:r>
            <w:instrText xml:space="preserve"> DOCPROPERTY "RepubDt"  *\charformat  </w:instrText>
          </w:r>
          <w:r>
            <w:fldChar w:fldCharType="separate"/>
          </w:r>
          <w:r w:rsidR="008070C0">
            <w:t>11/12/18</w:t>
          </w:r>
          <w:r>
            <w:fldChar w:fldCharType="end"/>
          </w:r>
        </w:p>
      </w:tc>
      <w:tc>
        <w:tcPr>
          <w:tcW w:w="3092" w:type="pct"/>
        </w:tcPr>
        <w:p w:rsidR="00FD1C42" w:rsidRDefault="00CF7DD8">
          <w:pPr>
            <w:pStyle w:val="Footer"/>
            <w:jc w:val="center"/>
          </w:pPr>
          <w:r>
            <w:fldChar w:fldCharType="begin"/>
          </w:r>
          <w:r>
            <w:instrText xml:space="preserve"> REF Citation *\charformat </w:instrText>
          </w:r>
          <w:r>
            <w:fldChar w:fldCharType="separate"/>
          </w:r>
          <w:r w:rsidR="008070C0">
            <w:t>Gaming Machine Regulation 2004</w:t>
          </w:r>
          <w:r>
            <w:fldChar w:fldCharType="end"/>
          </w:r>
        </w:p>
        <w:p w:rsidR="00FD1C42" w:rsidRDefault="00CF7DD8">
          <w:pPr>
            <w:pStyle w:val="FooterInfoCentre"/>
          </w:pPr>
          <w:r>
            <w:fldChar w:fldCharType="begin"/>
          </w:r>
          <w:r>
            <w:instrText xml:space="preserve"> DOCPROPERTY "Eff"  *\charformat </w:instrText>
          </w:r>
          <w:r>
            <w:fldChar w:fldCharType="separate"/>
          </w:r>
          <w:r w:rsidR="008070C0">
            <w:t xml:space="preserve">Effective:  </w:t>
          </w:r>
          <w:r>
            <w:fldChar w:fldCharType="end"/>
          </w:r>
          <w:r>
            <w:fldChar w:fldCharType="begin"/>
          </w:r>
          <w:r>
            <w:instrText xml:space="preserve"> DOCPROPERTY "StartDt"  *\charformat </w:instrText>
          </w:r>
          <w:r>
            <w:fldChar w:fldCharType="separate"/>
          </w:r>
          <w:r w:rsidR="008070C0">
            <w:t>11/12/18</w:t>
          </w:r>
          <w:r>
            <w:fldChar w:fldCharType="end"/>
          </w:r>
          <w:r>
            <w:fldChar w:fldCharType="begin"/>
          </w:r>
          <w:r>
            <w:instrText xml:space="preserve"> DO</w:instrText>
          </w:r>
          <w:r>
            <w:instrText xml:space="preserve">CPROPERTY "EndDt"  *\charformat </w:instrText>
          </w:r>
          <w:r>
            <w:fldChar w:fldCharType="separate"/>
          </w:r>
          <w:r w:rsidR="008070C0">
            <w:t>-30/06/19</w:t>
          </w:r>
          <w:r>
            <w:fldChar w:fldCharType="end"/>
          </w:r>
        </w:p>
      </w:tc>
      <w:tc>
        <w:tcPr>
          <w:tcW w:w="847" w:type="pct"/>
        </w:tcPr>
        <w:p w:rsidR="00FD1C42" w:rsidRDefault="00FD1C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33BC5">
            <w:rPr>
              <w:rStyle w:val="PageNumber"/>
              <w:noProof/>
            </w:rPr>
            <w:t>71</w:t>
          </w:r>
          <w:r>
            <w:rPr>
              <w:rStyle w:val="PageNumber"/>
            </w:rPr>
            <w:fldChar w:fldCharType="end"/>
          </w:r>
        </w:p>
      </w:tc>
    </w:tr>
  </w:tbl>
  <w:p w:rsidR="00FD1C42" w:rsidRPr="00CF7DD8" w:rsidRDefault="00CF7DD8" w:rsidP="00CF7DD8">
    <w:pPr>
      <w:pStyle w:val="Status"/>
      <w:rPr>
        <w:rFonts w:cs="Arial"/>
      </w:rPr>
    </w:pPr>
    <w:r w:rsidRPr="00CF7DD8">
      <w:rPr>
        <w:rFonts w:cs="Arial"/>
      </w:rPr>
      <w:fldChar w:fldCharType="begin"/>
    </w:r>
    <w:r w:rsidRPr="00CF7DD8">
      <w:rPr>
        <w:rFonts w:cs="Arial"/>
      </w:rPr>
      <w:instrText xml:space="preserve"> DOCPROPERTY "Status" </w:instrText>
    </w:r>
    <w:r w:rsidRPr="00CF7DD8">
      <w:rPr>
        <w:rFonts w:cs="Arial"/>
      </w:rPr>
      <w:fldChar w:fldCharType="separate"/>
    </w:r>
    <w:r w:rsidR="008070C0" w:rsidRPr="00CF7DD8">
      <w:rPr>
        <w:rFonts w:cs="Arial"/>
      </w:rPr>
      <w:t xml:space="preserve"> </w:t>
    </w:r>
    <w:r w:rsidRPr="00CF7DD8">
      <w:rPr>
        <w:rFonts w:cs="Arial"/>
      </w:rPr>
      <w:fldChar w:fldCharType="end"/>
    </w:r>
    <w:r w:rsidRPr="00CF7DD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Pr="00CF7DD8" w:rsidRDefault="00CF7DD8" w:rsidP="00CF7DD8">
    <w:pPr>
      <w:pStyle w:val="Footer"/>
      <w:jc w:val="center"/>
      <w:rPr>
        <w:rFonts w:cs="Arial"/>
        <w:sz w:val="14"/>
      </w:rPr>
    </w:pPr>
    <w:r w:rsidRPr="00CF7DD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Pr="00CF7DD8" w:rsidRDefault="00FD1C42" w:rsidP="00CF7DD8">
    <w:pPr>
      <w:pStyle w:val="Footer"/>
      <w:jc w:val="center"/>
      <w:rPr>
        <w:rFonts w:cs="Arial"/>
        <w:sz w:val="14"/>
      </w:rPr>
    </w:pPr>
    <w:r w:rsidRPr="00CF7DD8">
      <w:rPr>
        <w:rFonts w:cs="Arial"/>
        <w:sz w:val="14"/>
      </w:rPr>
      <w:fldChar w:fldCharType="begin"/>
    </w:r>
    <w:r w:rsidRPr="00CF7DD8">
      <w:rPr>
        <w:rFonts w:cs="Arial"/>
        <w:sz w:val="14"/>
      </w:rPr>
      <w:instrText xml:space="preserve"> COMMENTS  \* MERGEFORMAT </w:instrText>
    </w:r>
    <w:r w:rsidRPr="00CF7DD8">
      <w:rPr>
        <w:rFonts w:cs="Arial"/>
        <w:sz w:val="14"/>
      </w:rPr>
      <w:fldChar w:fldCharType="end"/>
    </w:r>
    <w:r w:rsidR="00CF7DD8" w:rsidRPr="00CF7DD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Pr="00CF7DD8" w:rsidRDefault="00CF7DD8" w:rsidP="00CF7DD8">
    <w:pPr>
      <w:pStyle w:val="Footer"/>
      <w:jc w:val="center"/>
      <w:rPr>
        <w:rFonts w:cs="Arial"/>
        <w:sz w:val="14"/>
      </w:rPr>
    </w:pPr>
    <w:r w:rsidRPr="00CF7DD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Pr="00CF7DD8" w:rsidRDefault="00FD1C42" w:rsidP="00CF7DD8">
    <w:pPr>
      <w:pStyle w:val="Footer"/>
      <w:jc w:val="center"/>
      <w:rPr>
        <w:rFonts w:cs="Arial"/>
        <w:sz w:val="14"/>
      </w:rPr>
    </w:pPr>
    <w:r w:rsidRPr="00CF7DD8">
      <w:rPr>
        <w:rFonts w:cs="Arial"/>
        <w:sz w:val="14"/>
      </w:rPr>
      <w:fldChar w:fldCharType="begin"/>
    </w:r>
    <w:r w:rsidRPr="00CF7DD8">
      <w:rPr>
        <w:rFonts w:cs="Arial"/>
        <w:sz w:val="14"/>
      </w:rPr>
      <w:instrText xml:space="preserve"> DOCPROPERTY "Status" </w:instrText>
    </w:r>
    <w:r w:rsidRPr="00CF7DD8">
      <w:rPr>
        <w:rFonts w:cs="Arial"/>
        <w:sz w:val="14"/>
      </w:rPr>
      <w:fldChar w:fldCharType="separate"/>
    </w:r>
    <w:r w:rsidR="008070C0" w:rsidRPr="00CF7DD8">
      <w:rPr>
        <w:rFonts w:cs="Arial"/>
        <w:sz w:val="14"/>
      </w:rPr>
      <w:t xml:space="preserve"> </w:t>
    </w:r>
    <w:r w:rsidRPr="00CF7DD8">
      <w:rPr>
        <w:rFonts w:cs="Arial"/>
        <w:sz w:val="14"/>
      </w:rPr>
      <w:fldChar w:fldCharType="end"/>
    </w:r>
    <w:r w:rsidRPr="00CF7DD8">
      <w:rPr>
        <w:rFonts w:cs="Arial"/>
        <w:sz w:val="14"/>
      </w:rPr>
      <w:fldChar w:fldCharType="begin"/>
    </w:r>
    <w:r w:rsidRPr="00CF7DD8">
      <w:rPr>
        <w:rFonts w:cs="Arial"/>
        <w:sz w:val="14"/>
      </w:rPr>
      <w:instrText xml:space="preserve"> COMMENTS  \* MERGEFORMAT </w:instrText>
    </w:r>
    <w:r w:rsidRPr="00CF7DD8">
      <w:rPr>
        <w:rFonts w:cs="Arial"/>
        <w:sz w:val="14"/>
      </w:rPr>
      <w:fldChar w:fldCharType="end"/>
    </w:r>
    <w:r w:rsidR="00CF7DD8" w:rsidRPr="00CF7DD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0CE" w:rsidRPr="00CF7DD8" w:rsidRDefault="00CF7DD8" w:rsidP="00CF7DD8">
    <w:pPr>
      <w:pStyle w:val="Footer"/>
      <w:jc w:val="center"/>
      <w:rPr>
        <w:rFonts w:cs="Arial"/>
        <w:sz w:val="14"/>
      </w:rPr>
    </w:pPr>
    <w:r w:rsidRPr="00CF7DD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D1C42">
      <w:tc>
        <w:tcPr>
          <w:tcW w:w="846" w:type="pct"/>
        </w:tcPr>
        <w:p w:rsidR="00FD1C42" w:rsidRDefault="00FD1C4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F33BC5">
            <w:rPr>
              <w:rStyle w:val="PageNumber"/>
              <w:noProof/>
            </w:rPr>
            <w:t>4</w:t>
          </w:r>
          <w:r>
            <w:rPr>
              <w:rStyle w:val="PageNumber"/>
            </w:rPr>
            <w:fldChar w:fldCharType="end"/>
          </w:r>
        </w:p>
      </w:tc>
      <w:tc>
        <w:tcPr>
          <w:tcW w:w="3093" w:type="pct"/>
        </w:tcPr>
        <w:p w:rsidR="00FD1C42" w:rsidRDefault="00CF7DD8">
          <w:pPr>
            <w:pStyle w:val="Footer"/>
            <w:jc w:val="center"/>
          </w:pPr>
          <w:r>
            <w:fldChar w:fldCharType="begin"/>
          </w:r>
          <w:r>
            <w:instrText xml:space="preserve"> REF Citation *\charformat </w:instrText>
          </w:r>
          <w:r>
            <w:fldChar w:fldCharType="separate"/>
          </w:r>
          <w:r w:rsidR="008070C0">
            <w:t>Gaming Machine Regulation 2004</w:t>
          </w:r>
          <w:r>
            <w:fldChar w:fldCharType="end"/>
          </w:r>
        </w:p>
        <w:p w:rsidR="00FD1C42" w:rsidRDefault="00CF7DD8">
          <w:pPr>
            <w:pStyle w:val="FooterInfoCentre"/>
          </w:pPr>
          <w:r>
            <w:fldChar w:fldCharType="begin"/>
          </w:r>
          <w:r>
            <w:instrText xml:space="preserve"> DOCPROPERTY "Eff"  </w:instrText>
          </w:r>
          <w:r>
            <w:fldChar w:fldCharType="separate"/>
          </w:r>
          <w:r w:rsidR="008070C0">
            <w:t xml:space="preserve">Effective:  </w:t>
          </w:r>
          <w:r>
            <w:fldChar w:fldCharType="end"/>
          </w:r>
          <w:r>
            <w:fldChar w:fldCharType="begin"/>
          </w:r>
          <w:r>
            <w:instrText xml:space="preserve"> DOCPROPERTY "StartDt"   </w:instrText>
          </w:r>
          <w:r>
            <w:fldChar w:fldCharType="separate"/>
          </w:r>
          <w:r w:rsidR="008070C0">
            <w:t>11/12/18</w:t>
          </w:r>
          <w:r>
            <w:fldChar w:fldCharType="end"/>
          </w:r>
          <w:r>
            <w:fldChar w:fldCharType="begin"/>
          </w:r>
          <w:r>
            <w:instrText xml:space="preserve"> DOCPROPERTY "EndDt"  </w:instrText>
          </w:r>
          <w:r>
            <w:fldChar w:fldCharType="separate"/>
          </w:r>
          <w:r w:rsidR="008070C0">
            <w:t>-30/06/19</w:t>
          </w:r>
          <w:r>
            <w:fldChar w:fldCharType="end"/>
          </w:r>
        </w:p>
      </w:tc>
      <w:tc>
        <w:tcPr>
          <w:tcW w:w="1061" w:type="pct"/>
        </w:tcPr>
        <w:p w:rsidR="00FD1C42" w:rsidRDefault="00CF7DD8">
          <w:pPr>
            <w:pStyle w:val="Footer"/>
            <w:jc w:val="right"/>
          </w:pPr>
          <w:r>
            <w:fldChar w:fldCharType="begin"/>
          </w:r>
          <w:r>
            <w:instrText xml:space="preserve"> DOCPROPERTY "Category"  </w:instrText>
          </w:r>
          <w:r>
            <w:fldChar w:fldCharType="separate"/>
          </w:r>
          <w:r w:rsidR="008070C0">
            <w:t>R17</w:t>
          </w:r>
          <w:r>
            <w:fldChar w:fldCharType="end"/>
          </w:r>
          <w:r w:rsidR="00FD1C42">
            <w:br/>
          </w:r>
          <w:r>
            <w:fldChar w:fldCharType="begin"/>
          </w:r>
          <w:r>
            <w:instrText xml:space="preserve"> DOCPROPERTY "RepubDt"  </w:instrText>
          </w:r>
          <w:r>
            <w:fldChar w:fldCharType="separate"/>
          </w:r>
          <w:r w:rsidR="008070C0">
            <w:t>11/12/18</w:t>
          </w:r>
          <w:r>
            <w:fldChar w:fldCharType="end"/>
          </w:r>
        </w:p>
      </w:tc>
    </w:tr>
  </w:tbl>
  <w:p w:rsidR="00FD1C42" w:rsidRPr="00CF7DD8" w:rsidRDefault="00CF7DD8" w:rsidP="00CF7DD8">
    <w:pPr>
      <w:pStyle w:val="Status"/>
      <w:rPr>
        <w:rFonts w:cs="Arial"/>
      </w:rPr>
    </w:pPr>
    <w:r w:rsidRPr="00CF7DD8">
      <w:rPr>
        <w:rFonts w:cs="Arial"/>
      </w:rPr>
      <w:fldChar w:fldCharType="begin"/>
    </w:r>
    <w:r w:rsidRPr="00CF7DD8">
      <w:rPr>
        <w:rFonts w:cs="Arial"/>
      </w:rPr>
      <w:instrText xml:space="preserve"> DOCPROPERTY "Status" </w:instrText>
    </w:r>
    <w:r w:rsidRPr="00CF7DD8">
      <w:rPr>
        <w:rFonts w:cs="Arial"/>
      </w:rPr>
      <w:fldChar w:fldCharType="separate"/>
    </w:r>
    <w:r w:rsidR="008070C0" w:rsidRPr="00CF7DD8">
      <w:rPr>
        <w:rFonts w:cs="Arial"/>
      </w:rPr>
      <w:t xml:space="preserve"> </w:t>
    </w:r>
    <w:r w:rsidRPr="00CF7DD8">
      <w:rPr>
        <w:rFonts w:cs="Arial"/>
      </w:rPr>
      <w:fldChar w:fldCharType="end"/>
    </w:r>
    <w:r w:rsidRPr="00CF7DD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D1C42">
      <w:tc>
        <w:tcPr>
          <w:tcW w:w="1061" w:type="pct"/>
        </w:tcPr>
        <w:p w:rsidR="00FD1C42" w:rsidRDefault="00CF7DD8">
          <w:pPr>
            <w:pStyle w:val="Footer"/>
          </w:pPr>
          <w:r>
            <w:fldChar w:fldCharType="begin"/>
          </w:r>
          <w:r>
            <w:instrText xml:space="preserve"> DOCPROPERTY "Category"  </w:instrText>
          </w:r>
          <w:r>
            <w:fldChar w:fldCharType="separate"/>
          </w:r>
          <w:r w:rsidR="008070C0">
            <w:t>R17</w:t>
          </w:r>
          <w:r>
            <w:fldChar w:fldCharType="end"/>
          </w:r>
          <w:r w:rsidR="00FD1C42">
            <w:br/>
          </w:r>
          <w:r>
            <w:fldChar w:fldCharType="begin"/>
          </w:r>
          <w:r>
            <w:instrText xml:space="preserve"> DOCPROPERTY "RepubDt"  </w:instrText>
          </w:r>
          <w:r>
            <w:fldChar w:fldCharType="separate"/>
          </w:r>
          <w:r w:rsidR="008070C0">
            <w:t>11/12/18</w:t>
          </w:r>
          <w:r>
            <w:fldChar w:fldCharType="end"/>
          </w:r>
        </w:p>
      </w:tc>
      <w:tc>
        <w:tcPr>
          <w:tcW w:w="3093" w:type="pct"/>
        </w:tcPr>
        <w:p w:rsidR="00FD1C42" w:rsidRDefault="00CF7DD8">
          <w:pPr>
            <w:pStyle w:val="Footer"/>
            <w:jc w:val="center"/>
          </w:pPr>
          <w:r>
            <w:fldChar w:fldCharType="begin"/>
          </w:r>
          <w:r>
            <w:instrText xml:space="preserve"> REF Citation *\charformat </w:instrText>
          </w:r>
          <w:r>
            <w:fldChar w:fldCharType="separate"/>
          </w:r>
          <w:r w:rsidR="008070C0">
            <w:t>Gaming Machine Regulation 2004</w:t>
          </w:r>
          <w:r>
            <w:fldChar w:fldCharType="end"/>
          </w:r>
        </w:p>
        <w:p w:rsidR="00FD1C42" w:rsidRDefault="00CF7DD8">
          <w:pPr>
            <w:pStyle w:val="FooterInfoCentre"/>
          </w:pPr>
          <w:r>
            <w:fldChar w:fldCharType="begin"/>
          </w:r>
          <w:r>
            <w:instrText xml:space="preserve"> DOCPROPERTY "Eff"  </w:instrText>
          </w:r>
          <w:r>
            <w:fldChar w:fldCharType="separate"/>
          </w:r>
          <w:r w:rsidR="008070C0">
            <w:t xml:space="preserve">Effective:  </w:t>
          </w:r>
          <w:r>
            <w:fldChar w:fldCharType="end"/>
          </w:r>
          <w:r>
            <w:fldChar w:fldCharType="begin"/>
          </w:r>
          <w:r>
            <w:instrText xml:space="preserve"> DOCPROPERTY "StartDt"  </w:instrText>
          </w:r>
          <w:r>
            <w:fldChar w:fldCharType="separate"/>
          </w:r>
          <w:r w:rsidR="008070C0">
            <w:t>11/12/18</w:t>
          </w:r>
          <w:r>
            <w:fldChar w:fldCharType="end"/>
          </w:r>
          <w:r>
            <w:fldChar w:fldCharType="begin"/>
          </w:r>
          <w:r>
            <w:instrText xml:space="preserve"> DOCPROPERTY "EndDt"  </w:instrText>
          </w:r>
          <w:r>
            <w:fldChar w:fldCharType="separate"/>
          </w:r>
          <w:r w:rsidR="008070C0">
            <w:t>-30/06/19</w:t>
          </w:r>
          <w:r>
            <w:fldChar w:fldCharType="end"/>
          </w:r>
        </w:p>
      </w:tc>
      <w:tc>
        <w:tcPr>
          <w:tcW w:w="846" w:type="pct"/>
        </w:tcPr>
        <w:p w:rsidR="00FD1C42" w:rsidRDefault="00FD1C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F33BC5">
            <w:rPr>
              <w:rStyle w:val="PageNumber"/>
              <w:noProof/>
            </w:rPr>
            <w:t>5</w:t>
          </w:r>
          <w:r>
            <w:rPr>
              <w:rStyle w:val="PageNumber"/>
            </w:rPr>
            <w:fldChar w:fldCharType="end"/>
          </w:r>
        </w:p>
      </w:tc>
    </w:tr>
  </w:tbl>
  <w:p w:rsidR="00FD1C42" w:rsidRPr="00CF7DD8" w:rsidRDefault="00CF7DD8" w:rsidP="00CF7DD8">
    <w:pPr>
      <w:pStyle w:val="Status"/>
      <w:rPr>
        <w:rFonts w:cs="Arial"/>
      </w:rPr>
    </w:pPr>
    <w:r w:rsidRPr="00CF7DD8">
      <w:rPr>
        <w:rFonts w:cs="Arial"/>
      </w:rPr>
      <w:fldChar w:fldCharType="begin"/>
    </w:r>
    <w:r w:rsidRPr="00CF7DD8">
      <w:rPr>
        <w:rFonts w:cs="Arial"/>
      </w:rPr>
      <w:instrText xml:space="preserve"> DOCPROPERTY "Status" </w:instrText>
    </w:r>
    <w:r w:rsidRPr="00CF7DD8">
      <w:rPr>
        <w:rFonts w:cs="Arial"/>
      </w:rPr>
      <w:fldChar w:fldCharType="separate"/>
    </w:r>
    <w:r w:rsidR="008070C0" w:rsidRPr="00CF7DD8">
      <w:rPr>
        <w:rFonts w:cs="Arial"/>
      </w:rPr>
      <w:t xml:space="preserve"> </w:t>
    </w:r>
    <w:r w:rsidRPr="00CF7DD8">
      <w:rPr>
        <w:rFonts w:cs="Arial"/>
      </w:rPr>
      <w:fldChar w:fldCharType="end"/>
    </w:r>
    <w:r w:rsidRPr="00CF7DD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D1C42">
      <w:tc>
        <w:tcPr>
          <w:tcW w:w="1061" w:type="pct"/>
        </w:tcPr>
        <w:p w:rsidR="00FD1C42" w:rsidRDefault="00CF7DD8">
          <w:pPr>
            <w:pStyle w:val="Footer"/>
          </w:pPr>
          <w:r>
            <w:fldChar w:fldCharType="begin"/>
          </w:r>
          <w:r>
            <w:instrText xml:space="preserve"> DOCPROPERTY "Category"  </w:instrText>
          </w:r>
          <w:r>
            <w:fldChar w:fldCharType="separate"/>
          </w:r>
          <w:r w:rsidR="008070C0">
            <w:t>R17</w:t>
          </w:r>
          <w:r>
            <w:fldChar w:fldCharType="end"/>
          </w:r>
          <w:r w:rsidR="00FD1C42">
            <w:br/>
          </w:r>
          <w:r>
            <w:fldChar w:fldCharType="begin"/>
          </w:r>
          <w:r>
            <w:instrText xml:space="preserve"> DOCPROPERTY "RepubDt"  </w:instrText>
          </w:r>
          <w:r>
            <w:fldChar w:fldCharType="separate"/>
          </w:r>
          <w:r w:rsidR="008070C0">
            <w:t>11/12/18</w:t>
          </w:r>
          <w:r>
            <w:fldChar w:fldCharType="end"/>
          </w:r>
        </w:p>
      </w:tc>
      <w:tc>
        <w:tcPr>
          <w:tcW w:w="3093" w:type="pct"/>
        </w:tcPr>
        <w:p w:rsidR="00FD1C42" w:rsidRDefault="00CF7DD8">
          <w:pPr>
            <w:pStyle w:val="Footer"/>
            <w:jc w:val="center"/>
          </w:pPr>
          <w:r>
            <w:fldChar w:fldCharType="begin"/>
          </w:r>
          <w:r>
            <w:instrText xml:space="preserve"> REF Citation *\charformat </w:instrText>
          </w:r>
          <w:r>
            <w:fldChar w:fldCharType="separate"/>
          </w:r>
          <w:r w:rsidR="008070C0">
            <w:t>Gaming Machine Regulation 2004</w:t>
          </w:r>
          <w:r>
            <w:fldChar w:fldCharType="end"/>
          </w:r>
        </w:p>
        <w:p w:rsidR="00FD1C42" w:rsidRDefault="00CF7DD8">
          <w:pPr>
            <w:pStyle w:val="FooterInfoCentre"/>
          </w:pPr>
          <w:r>
            <w:fldChar w:fldCharType="begin"/>
          </w:r>
          <w:r>
            <w:instrText xml:space="preserve"> DOCPROPERTY "Eff"  </w:instrText>
          </w:r>
          <w:r>
            <w:fldChar w:fldCharType="separate"/>
          </w:r>
          <w:r w:rsidR="008070C0">
            <w:t xml:space="preserve">Effective:  </w:t>
          </w:r>
          <w:r>
            <w:fldChar w:fldCharType="end"/>
          </w:r>
          <w:r>
            <w:fldChar w:fldCharType="begin"/>
          </w:r>
          <w:r>
            <w:instrText xml:space="preserve"> DOCPROPERTY "StartDt"   </w:instrText>
          </w:r>
          <w:r>
            <w:fldChar w:fldCharType="separate"/>
          </w:r>
          <w:r w:rsidR="008070C0">
            <w:t>11/12/18</w:t>
          </w:r>
          <w:r>
            <w:fldChar w:fldCharType="end"/>
          </w:r>
          <w:r>
            <w:fldChar w:fldCharType="begin"/>
          </w:r>
          <w:r>
            <w:instrText xml:space="preserve"> DOCPROPERTY "EndDt"  </w:instrText>
          </w:r>
          <w:r>
            <w:fldChar w:fldCharType="separate"/>
          </w:r>
          <w:r w:rsidR="008070C0">
            <w:t>-30/06/19</w:t>
          </w:r>
          <w:r>
            <w:fldChar w:fldCharType="end"/>
          </w:r>
        </w:p>
      </w:tc>
      <w:tc>
        <w:tcPr>
          <w:tcW w:w="846" w:type="pct"/>
        </w:tcPr>
        <w:p w:rsidR="00FD1C42" w:rsidRDefault="00FD1C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F33BC5">
            <w:rPr>
              <w:rStyle w:val="PageNumber"/>
              <w:noProof/>
            </w:rPr>
            <w:t>1</w:t>
          </w:r>
          <w:r>
            <w:rPr>
              <w:rStyle w:val="PageNumber"/>
            </w:rPr>
            <w:fldChar w:fldCharType="end"/>
          </w:r>
        </w:p>
      </w:tc>
    </w:tr>
  </w:tbl>
  <w:p w:rsidR="00FD1C42" w:rsidRPr="00CF7DD8" w:rsidRDefault="00CF7DD8" w:rsidP="00CF7DD8">
    <w:pPr>
      <w:pStyle w:val="Status"/>
      <w:rPr>
        <w:rFonts w:cs="Arial"/>
      </w:rPr>
    </w:pPr>
    <w:r w:rsidRPr="00CF7DD8">
      <w:rPr>
        <w:rFonts w:cs="Arial"/>
      </w:rPr>
      <w:fldChar w:fldCharType="begin"/>
    </w:r>
    <w:r w:rsidRPr="00CF7DD8">
      <w:rPr>
        <w:rFonts w:cs="Arial"/>
      </w:rPr>
      <w:instrText xml:space="preserve"> DOCPROPERTY "Status" </w:instrText>
    </w:r>
    <w:r w:rsidRPr="00CF7DD8">
      <w:rPr>
        <w:rFonts w:cs="Arial"/>
      </w:rPr>
      <w:fldChar w:fldCharType="separate"/>
    </w:r>
    <w:r w:rsidR="008070C0" w:rsidRPr="00CF7DD8">
      <w:rPr>
        <w:rFonts w:cs="Arial"/>
      </w:rPr>
      <w:t xml:space="preserve"> </w:t>
    </w:r>
    <w:r w:rsidRPr="00CF7DD8">
      <w:rPr>
        <w:rFonts w:cs="Arial"/>
      </w:rPr>
      <w:fldChar w:fldCharType="end"/>
    </w:r>
    <w:r w:rsidRPr="00CF7DD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1C42">
      <w:tc>
        <w:tcPr>
          <w:tcW w:w="847" w:type="pct"/>
        </w:tcPr>
        <w:p w:rsidR="00FD1C42" w:rsidRDefault="00FD1C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33BC5">
            <w:rPr>
              <w:rStyle w:val="PageNumber"/>
              <w:noProof/>
            </w:rPr>
            <w:t>54</w:t>
          </w:r>
          <w:r>
            <w:rPr>
              <w:rStyle w:val="PageNumber"/>
            </w:rPr>
            <w:fldChar w:fldCharType="end"/>
          </w:r>
        </w:p>
      </w:tc>
      <w:tc>
        <w:tcPr>
          <w:tcW w:w="3092" w:type="pct"/>
        </w:tcPr>
        <w:p w:rsidR="00FD1C42" w:rsidRDefault="00CF7DD8">
          <w:pPr>
            <w:pStyle w:val="Footer"/>
            <w:jc w:val="center"/>
          </w:pPr>
          <w:r>
            <w:fldChar w:fldCharType="begin"/>
          </w:r>
          <w:r>
            <w:instrText xml:space="preserve"> REF Citation *\charformat </w:instrText>
          </w:r>
          <w:r>
            <w:fldChar w:fldCharType="separate"/>
          </w:r>
          <w:r w:rsidR="008070C0">
            <w:t>Gaming Machine Regulation 2004</w:t>
          </w:r>
          <w:r>
            <w:fldChar w:fldCharType="end"/>
          </w:r>
        </w:p>
        <w:p w:rsidR="00FD1C42" w:rsidRDefault="00CF7DD8">
          <w:pPr>
            <w:pStyle w:val="FooterInfoCentre"/>
          </w:pPr>
          <w:r>
            <w:fldChar w:fldCharType="begin"/>
          </w:r>
          <w:r>
            <w:instrText xml:space="preserve"> DOCPROPERTY "Eff"  *\charformat </w:instrText>
          </w:r>
          <w:r>
            <w:fldChar w:fldCharType="separate"/>
          </w:r>
          <w:r w:rsidR="008070C0">
            <w:t xml:space="preserve">Effective:  </w:t>
          </w:r>
          <w:r>
            <w:fldChar w:fldCharType="end"/>
          </w:r>
          <w:r>
            <w:fldChar w:fldCharType="begin"/>
          </w:r>
          <w:r>
            <w:instrText xml:space="preserve"> DOCPROPERTY "StartDt"  *\charformat </w:instrText>
          </w:r>
          <w:r>
            <w:fldChar w:fldCharType="separate"/>
          </w:r>
          <w:r w:rsidR="008070C0">
            <w:t>11/12/18</w:t>
          </w:r>
          <w:r>
            <w:fldChar w:fldCharType="end"/>
          </w:r>
          <w:r>
            <w:fldChar w:fldCharType="begin"/>
          </w:r>
          <w:r>
            <w:instrText xml:space="preserve"> DOCPROPERTY "EndDt"  *\charformat </w:instrText>
          </w:r>
          <w:r>
            <w:fldChar w:fldCharType="separate"/>
          </w:r>
          <w:r w:rsidR="008070C0">
            <w:t>-30/06/19</w:t>
          </w:r>
          <w:r>
            <w:fldChar w:fldCharType="end"/>
          </w:r>
        </w:p>
      </w:tc>
      <w:tc>
        <w:tcPr>
          <w:tcW w:w="1061" w:type="pct"/>
        </w:tcPr>
        <w:p w:rsidR="00FD1C42" w:rsidRDefault="00CF7DD8">
          <w:pPr>
            <w:pStyle w:val="Footer"/>
            <w:jc w:val="right"/>
          </w:pPr>
          <w:r>
            <w:fldChar w:fldCharType="begin"/>
          </w:r>
          <w:r>
            <w:instrText xml:space="preserve"> DOCPROPERTY "Category"  *\charformat  </w:instrText>
          </w:r>
          <w:r>
            <w:fldChar w:fldCharType="separate"/>
          </w:r>
          <w:r w:rsidR="008070C0">
            <w:t>R17</w:t>
          </w:r>
          <w:r>
            <w:fldChar w:fldCharType="end"/>
          </w:r>
          <w:r w:rsidR="00FD1C42">
            <w:br/>
          </w:r>
          <w:r>
            <w:fldChar w:fldCharType="begin"/>
          </w:r>
          <w:r>
            <w:instrText xml:space="preserve"> DOCPROPERTY "RepubDt"  *\charformat  </w:instrText>
          </w:r>
          <w:r>
            <w:fldChar w:fldCharType="separate"/>
          </w:r>
          <w:r w:rsidR="008070C0">
            <w:t>11/12/18</w:t>
          </w:r>
          <w:r>
            <w:fldChar w:fldCharType="end"/>
          </w:r>
        </w:p>
      </w:tc>
    </w:tr>
  </w:tbl>
  <w:p w:rsidR="00FD1C42" w:rsidRPr="00CF7DD8" w:rsidRDefault="00CF7DD8" w:rsidP="00CF7DD8">
    <w:pPr>
      <w:pStyle w:val="Status"/>
      <w:rPr>
        <w:rFonts w:cs="Arial"/>
      </w:rPr>
    </w:pPr>
    <w:r w:rsidRPr="00CF7DD8">
      <w:rPr>
        <w:rFonts w:cs="Arial"/>
      </w:rPr>
      <w:fldChar w:fldCharType="begin"/>
    </w:r>
    <w:r w:rsidRPr="00CF7DD8">
      <w:rPr>
        <w:rFonts w:cs="Arial"/>
      </w:rPr>
      <w:instrText xml:space="preserve"> DOCPROPERTY "Status" </w:instrText>
    </w:r>
    <w:r w:rsidRPr="00CF7DD8">
      <w:rPr>
        <w:rFonts w:cs="Arial"/>
      </w:rPr>
      <w:fldChar w:fldCharType="separate"/>
    </w:r>
    <w:r w:rsidR="008070C0" w:rsidRPr="00CF7DD8">
      <w:rPr>
        <w:rFonts w:cs="Arial"/>
      </w:rPr>
      <w:t xml:space="preserve"> </w:t>
    </w:r>
    <w:r w:rsidRPr="00CF7DD8">
      <w:rPr>
        <w:rFonts w:cs="Arial"/>
      </w:rPr>
      <w:fldChar w:fldCharType="end"/>
    </w:r>
    <w:r w:rsidRPr="00CF7DD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1C42">
      <w:tc>
        <w:tcPr>
          <w:tcW w:w="1061" w:type="pct"/>
        </w:tcPr>
        <w:p w:rsidR="00FD1C42" w:rsidRDefault="00CF7DD8">
          <w:pPr>
            <w:pStyle w:val="Footer"/>
          </w:pPr>
          <w:r>
            <w:fldChar w:fldCharType="begin"/>
          </w:r>
          <w:r>
            <w:instrText xml:space="preserve"> DOCPROPERTY "Category"  *\charformat  </w:instrText>
          </w:r>
          <w:r>
            <w:fldChar w:fldCharType="separate"/>
          </w:r>
          <w:r w:rsidR="008070C0">
            <w:t>R17</w:t>
          </w:r>
          <w:r>
            <w:fldChar w:fldCharType="end"/>
          </w:r>
          <w:r w:rsidR="00FD1C42">
            <w:br/>
          </w:r>
          <w:r>
            <w:fldChar w:fldCharType="begin"/>
          </w:r>
          <w:r>
            <w:instrText xml:space="preserve"> DOCPROPERTY "RepubDt"  *\charformat  </w:instrText>
          </w:r>
          <w:r>
            <w:fldChar w:fldCharType="separate"/>
          </w:r>
          <w:r w:rsidR="008070C0">
            <w:t>11/12/18</w:t>
          </w:r>
          <w:r>
            <w:fldChar w:fldCharType="end"/>
          </w:r>
        </w:p>
      </w:tc>
      <w:tc>
        <w:tcPr>
          <w:tcW w:w="3092" w:type="pct"/>
        </w:tcPr>
        <w:p w:rsidR="00FD1C42" w:rsidRDefault="00CF7DD8">
          <w:pPr>
            <w:pStyle w:val="Footer"/>
            <w:jc w:val="center"/>
          </w:pPr>
          <w:r>
            <w:fldChar w:fldCharType="begin"/>
          </w:r>
          <w:r>
            <w:instrText xml:space="preserve"> REF Citation *\charformat </w:instrText>
          </w:r>
          <w:r>
            <w:fldChar w:fldCharType="separate"/>
          </w:r>
          <w:r w:rsidR="008070C0">
            <w:t>Gaming Machine Regulation 2004</w:t>
          </w:r>
          <w:r>
            <w:fldChar w:fldCharType="end"/>
          </w:r>
        </w:p>
        <w:p w:rsidR="00FD1C42" w:rsidRDefault="00CF7DD8">
          <w:pPr>
            <w:pStyle w:val="FooterInfoCentre"/>
          </w:pPr>
          <w:r>
            <w:fldChar w:fldCharType="begin"/>
          </w:r>
          <w:r>
            <w:instrText xml:space="preserve"> DOCPROPERTY "Eff"  *\charformat </w:instrText>
          </w:r>
          <w:r>
            <w:fldChar w:fldCharType="separate"/>
          </w:r>
          <w:r w:rsidR="008070C0">
            <w:t xml:space="preserve">Effective:  </w:t>
          </w:r>
          <w:r>
            <w:fldChar w:fldCharType="end"/>
          </w:r>
          <w:r>
            <w:fldChar w:fldCharType="begin"/>
          </w:r>
          <w:r>
            <w:instrText xml:space="preserve"> DOCPROPERTY "StartDt"  *\charformat </w:instrText>
          </w:r>
          <w:r>
            <w:fldChar w:fldCharType="separate"/>
          </w:r>
          <w:r w:rsidR="008070C0">
            <w:t>11/12/18</w:t>
          </w:r>
          <w:r>
            <w:fldChar w:fldCharType="end"/>
          </w:r>
          <w:r>
            <w:fldChar w:fldCharType="begin"/>
          </w:r>
          <w:r>
            <w:instrText xml:space="preserve"> DOCPROPERTY "EndDt"  *\charformat </w:instrText>
          </w:r>
          <w:r>
            <w:fldChar w:fldCharType="separate"/>
          </w:r>
          <w:r w:rsidR="008070C0">
            <w:t>-30/06/19</w:t>
          </w:r>
          <w:r>
            <w:fldChar w:fldCharType="end"/>
          </w:r>
        </w:p>
      </w:tc>
      <w:tc>
        <w:tcPr>
          <w:tcW w:w="847" w:type="pct"/>
        </w:tcPr>
        <w:p w:rsidR="00FD1C42" w:rsidRDefault="00FD1C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33BC5">
            <w:rPr>
              <w:rStyle w:val="PageNumber"/>
              <w:noProof/>
            </w:rPr>
            <w:t>55</w:t>
          </w:r>
          <w:r>
            <w:rPr>
              <w:rStyle w:val="PageNumber"/>
            </w:rPr>
            <w:fldChar w:fldCharType="end"/>
          </w:r>
        </w:p>
      </w:tc>
    </w:tr>
  </w:tbl>
  <w:p w:rsidR="00FD1C42" w:rsidRPr="00CF7DD8" w:rsidRDefault="00CF7DD8" w:rsidP="00CF7DD8">
    <w:pPr>
      <w:pStyle w:val="Status"/>
      <w:rPr>
        <w:rFonts w:cs="Arial"/>
      </w:rPr>
    </w:pPr>
    <w:r w:rsidRPr="00CF7DD8">
      <w:rPr>
        <w:rFonts w:cs="Arial"/>
      </w:rPr>
      <w:fldChar w:fldCharType="begin"/>
    </w:r>
    <w:r w:rsidRPr="00CF7DD8">
      <w:rPr>
        <w:rFonts w:cs="Arial"/>
      </w:rPr>
      <w:instrText xml:space="preserve"> DOCPROPERTY "Status" </w:instrText>
    </w:r>
    <w:r w:rsidRPr="00CF7DD8">
      <w:rPr>
        <w:rFonts w:cs="Arial"/>
      </w:rPr>
      <w:fldChar w:fldCharType="separate"/>
    </w:r>
    <w:r w:rsidR="008070C0" w:rsidRPr="00CF7DD8">
      <w:rPr>
        <w:rFonts w:cs="Arial"/>
      </w:rPr>
      <w:t xml:space="preserve"> </w:t>
    </w:r>
    <w:r w:rsidRPr="00CF7DD8">
      <w:rPr>
        <w:rFonts w:cs="Arial"/>
      </w:rPr>
      <w:fldChar w:fldCharType="end"/>
    </w:r>
    <w:r w:rsidRPr="00CF7DD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D1C42">
      <w:tc>
        <w:tcPr>
          <w:tcW w:w="1061" w:type="pct"/>
        </w:tcPr>
        <w:p w:rsidR="00FD1C42" w:rsidRDefault="00CF7DD8">
          <w:pPr>
            <w:pStyle w:val="Footer"/>
          </w:pPr>
          <w:r>
            <w:fldChar w:fldCharType="begin"/>
          </w:r>
          <w:r>
            <w:instrText xml:space="preserve"> DOCPROPERTY "Category"  *\charformat  </w:instrText>
          </w:r>
          <w:r>
            <w:fldChar w:fldCharType="separate"/>
          </w:r>
          <w:r w:rsidR="008070C0">
            <w:t>R17</w:t>
          </w:r>
          <w:r>
            <w:fldChar w:fldCharType="end"/>
          </w:r>
          <w:r w:rsidR="00FD1C42">
            <w:br/>
          </w:r>
          <w:r>
            <w:fldChar w:fldCharType="begin"/>
          </w:r>
          <w:r>
            <w:instrText xml:space="preserve"> DOCPROPERTY "RepubDt"  *\charformat  </w:instrText>
          </w:r>
          <w:r>
            <w:fldChar w:fldCharType="separate"/>
          </w:r>
          <w:r w:rsidR="008070C0">
            <w:t>11/12/18</w:t>
          </w:r>
          <w:r>
            <w:fldChar w:fldCharType="end"/>
          </w:r>
        </w:p>
      </w:tc>
      <w:tc>
        <w:tcPr>
          <w:tcW w:w="3092" w:type="pct"/>
        </w:tcPr>
        <w:p w:rsidR="00FD1C42" w:rsidRDefault="00CF7DD8">
          <w:pPr>
            <w:pStyle w:val="Footer"/>
            <w:jc w:val="center"/>
          </w:pPr>
          <w:r>
            <w:fldChar w:fldCharType="begin"/>
          </w:r>
          <w:r>
            <w:instrText xml:space="preserve"> REF Citation *\charformat </w:instrText>
          </w:r>
          <w:r>
            <w:fldChar w:fldCharType="separate"/>
          </w:r>
          <w:r w:rsidR="008070C0">
            <w:t>Gaming Machine Regulation 2004</w:t>
          </w:r>
          <w:r>
            <w:fldChar w:fldCharType="end"/>
          </w:r>
        </w:p>
        <w:p w:rsidR="00FD1C42" w:rsidRDefault="00CF7DD8">
          <w:pPr>
            <w:pStyle w:val="FooterInfoCentre"/>
          </w:pPr>
          <w:r>
            <w:fldChar w:fldCharType="begin"/>
          </w:r>
          <w:r>
            <w:instrText xml:space="preserve"> DOCPROPERTY "Eff"  *\charformat </w:instrText>
          </w:r>
          <w:r>
            <w:fldChar w:fldCharType="separate"/>
          </w:r>
          <w:r w:rsidR="008070C0">
            <w:t xml:space="preserve">Effective:  </w:t>
          </w:r>
          <w:r>
            <w:fldChar w:fldCharType="end"/>
          </w:r>
          <w:r>
            <w:fldChar w:fldCharType="begin"/>
          </w:r>
          <w:r>
            <w:instrText xml:space="preserve"> DOCPROPERTY "StartDt"  *\charformat </w:instrText>
          </w:r>
          <w:r>
            <w:fldChar w:fldCharType="separate"/>
          </w:r>
          <w:r w:rsidR="008070C0">
            <w:t>11/12/18</w:t>
          </w:r>
          <w:r>
            <w:fldChar w:fldCharType="end"/>
          </w:r>
          <w:r>
            <w:fldChar w:fldCharType="begin"/>
          </w:r>
          <w:r>
            <w:instrText xml:space="preserve"> DOCPROPERTY "EndDt"  *\charformat </w:instrText>
          </w:r>
          <w:r>
            <w:fldChar w:fldCharType="separate"/>
          </w:r>
          <w:r w:rsidR="008070C0">
            <w:t>-30/06/19</w:t>
          </w:r>
          <w:r>
            <w:fldChar w:fldCharType="end"/>
          </w:r>
        </w:p>
      </w:tc>
      <w:tc>
        <w:tcPr>
          <w:tcW w:w="847" w:type="pct"/>
        </w:tcPr>
        <w:p w:rsidR="00FD1C42" w:rsidRDefault="00FD1C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33BC5">
            <w:rPr>
              <w:rStyle w:val="PageNumber"/>
              <w:noProof/>
            </w:rPr>
            <w:t>1</w:t>
          </w:r>
          <w:r>
            <w:rPr>
              <w:rStyle w:val="PageNumber"/>
            </w:rPr>
            <w:fldChar w:fldCharType="end"/>
          </w:r>
        </w:p>
      </w:tc>
    </w:tr>
  </w:tbl>
  <w:p w:rsidR="00FD1C42" w:rsidRPr="00CF7DD8" w:rsidRDefault="00CF7DD8" w:rsidP="00CF7DD8">
    <w:pPr>
      <w:pStyle w:val="Status"/>
      <w:rPr>
        <w:rFonts w:cs="Arial"/>
      </w:rPr>
    </w:pPr>
    <w:r w:rsidRPr="00CF7DD8">
      <w:rPr>
        <w:rFonts w:cs="Arial"/>
      </w:rPr>
      <w:fldChar w:fldCharType="begin"/>
    </w:r>
    <w:r w:rsidRPr="00CF7DD8">
      <w:rPr>
        <w:rFonts w:cs="Arial"/>
      </w:rPr>
      <w:instrText xml:space="preserve"> DOCPROPERTY "Status" </w:instrText>
    </w:r>
    <w:r w:rsidRPr="00CF7DD8">
      <w:rPr>
        <w:rFonts w:cs="Arial"/>
      </w:rPr>
      <w:fldChar w:fldCharType="separate"/>
    </w:r>
    <w:r w:rsidR="008070C0" w:rsidRPr="00CF7DD8">
      <w:rPr>
        <w:rFonts w:cs="Arial"/>
      </w:rPr>
      <w:t xml:space="preserve"> </w:t>
    </w:r>
    <w:r w:rsidRPr="00CF7DD8">
      <w:rPr>
        <w:rFonts w:cs="Arial"/>
      </w:rPr>
      <w:fldChar w:fldCharType="end"/>
    </w:r>
    <w:r w:rsidRPr="00CF7DD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E0E" w:rsidRDefault="00402E0E" w:rsidP="009720B3">
      <w:pPr>
        <w:pStyle w:val="aExamHdgss"/>
      </w:pPr>
      <w:r>
        <w:separator/>
      </w:r>
    </w:p>
  </w:footnote>
  <w:footnote w:type="continuationSeparator" w:id="0">
    <w:p w:rsidR="00402E0E" w:rsidRDefault="00402E0E" w:rsidP="009720B3">
      <w:pPr>
        <w:pStyle w:val="aExamHdg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0CE" w:rsidRDefault="007600C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D1C42">
      <w:trPr>
        <w:jc w:val="center"/>
      </w:trPr>
      <w:tc>
        <w:tcPr>
          <w:tcW w:w="1234" w:type="dxa"/>
          <w:gridSpan w:val="2"/>
        </w:tcPr>
        <w:p w:rsidR="00FD1C42" w:rsidRDefault="00FD1C42">
          <w:pPr>
            <w:pStyle w:val="HeaderEven"/>
            <w:rPr>
              <w:b/>
            </w:rPr>
          </w:pPr>
          <w:r>
            <w:rPr>
              <w:b/>
            </w:rPr>
            <w:t>Endnotes</w:t>
          </w:r>
        </w:p>
      </w:tc>
      <w:tc>
        <w:tcPr>
          <w:tcW w:w="6062" w:type="dxa"/>
        </w:tcPr>
        <w:p w:rsidR="00FD1C42" w:rsidRDefault="00FD1C42">
          <w:pPr>
            <w:pStyle w:val="HeaderEven"/>
          </w:pPr>
        </w:p>
      </w:tc>
    </w:tr>
    <w:tr w:rsidR="00FD1C42">
      <w:trPr>
        <w:cantSplit/>
        <w:jc w:val="center"/>
      </w:trPr>
      <w:tc>
        <w:tcPr>
          <w:tcW w:w="7296" w:type="dxa"/>
          <w:gridSpan w:val="3"/>
        </w:tcPr>
        <w:p w:rsidR="00FD1C42" w:rsidRDefault="00FD1C42">
          <w:pPr>
            <w:pStyle w:val="HeaderEven"/>
          </w:pPr>
        </w:p>
      </w:tc>
    </w:tr>
    <w:tr w:rsidR="00FD1C42">
      <w:trPr>
        <w:cantSplit/>
        <w:jc w:val="center"/>
      </w:trPr>
      <w:tc>
        <w:tcPr>
          <w:tcW w:w="700" w:type="dxa"/>
          <w:tcBorders>
            <w:bottom w:val="single" w:sz="4" w:space="0" w:color="auto"/>
          </w:tcBorders>
        </w:tcPr>
        <w:p w:rsidR="00FD1C42" w:rsidRDefault="00FD1C42">
          <w:pPr>
            <w:pStyle w:val="HeaderEven6"/>
          </w:pPr>
          <w:r>
            <w:rPr>
              <w:noProof/>
            </w:rPr>
            <w:fldChar w:fldCharType="begin"/>
          </w:r>
          <w:r>
            <w:rPr>
              <w:noProof/>
            </w:rPr>
            <w:instrText xml:space="preserve"> STYLEREF charTableNo \*charformat </w:instrText>
          </w:r>
          <w:r>
            <w:rPr>
              <w:noProof/>
            </w:rPr>
            <w:fldChar w:fldCharType="separate"/>
          </w:r>
          <w:r w:rsidR="00CF7DD8">
            <w:rPr>
              <w:noProof/>
            </w:rPr>
            <w:t>5</w:t>
          </w:r>
          <w:r>
            <w:rPr>
              <w:noProof/>
            </w:rPr>
            <w:fldChar w:fldCharType="end"/>
          </w:r>
        </w:p>
      </w:tc>
      <w:tc>
        <w:tcPr>
          <w:tcW w:w="6600" w:type="dxa"/>
          <w:gridSpan w:val="2"/>
          <w:tcBorders>
            <w:bottom w:val="single" w:sz="4" w:space="0" w:color="auto"/>
          </w:tcBorders>
        </w:tcPr>
        <w:p w:rsidR="00FD1C42" w:rsidRDefault="00FD1C42">
          <w:pPr>
            <w:pStyle w:val="HeaderEven6"/>
          </w:pPr>
          <w:r>
            <w:rPr>
              <w:noProof/>
            </w:rPr>
            <w:fldChar w:fldCharType="begin"/>
          </w:r>
          <w:r>
            <w:rPr>
              <w:noProof/>
            </w:rPr>
            <w:instrText xml:space="preserve"> STYLEREF charTableText \*charformat </w:instrText>
          </w:r>
          <w:r>
            <w:rPr>
              <w:noProof/>
            </w:rPr>
            <w:fldChar w:fldCharType="separate"/>
          </w:r>
          <w:r w:rsidR="00CF7DD8">
            <w:rPr>
              <w:noProof/>
            </w:rPr>
            <w:t>Earlier republications</w:t>
          </w:r>
          <w:r>
            <w:rPr>
              <w:noProof/>
            </w:rPr>
            <w:fldChar w:fldCharType="end"/>
          </w:r>
        </w:p>
      </w:tc>
    </w:tr>
  </w:tbl>
  <w:p w:rsidR="00FD1C42" w:rsidRDefault="00FD1C4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D1C42">
      <w:trPr>
        <w:jc w:val="center"/>
      </w:trPr>
      <w:tc>
        <w:tcPr>
          <w:tcW w:w="5741" w:type="dxa"/>
        </w:tcPr>
        <w:p w:rsidR="00FD1C42" w:rsidRDefault="00FD1C42">
          <w:pPr>
            <w:pStyle w:val="HeaderEven"/>
            <w:jc w:val="right"/>
          </w:pPr>
        </w:p>
      </w:tc>
      <w:tc>
        <w:tcPr>
          <w:tcW w:w="1560" w:type="dxa"/>
          <w:gridSpan w:val="2"/>
        </w:tcPr>
        <w:p w:rsidR="00FD1C42" w:rsidRDefault="00FD1C42">
          <w:pPr>
            <w:pStyle w:val="HeaderEven"/>
            <w:jc w:val="right"/>
            <w:rPr>
              <w:b/>
            </w:rPr>
          </w:pPr>
          <w:r>
            <w:rPr>
              <w:b/>
            </w:rPr>
            <w:t>Endnotes</w:t>
          </w:r>
        </w:p>
      </w:tc>
    </w:tr>
    <w:tr w:rsidR="00FD1C42">
      <w:trPr>
        <w:jc w:val="center"/>
      </w:trPr>
      <w:tc>
        <w:tcPr>
          <w:tcW w:w="7301" w:type="dxa"/>
          <w:gridSpan w:val="3"/>
        </w:tcPr>
        <w:p w:rsidR="00FD1C42" w:rsidRDefault="00FD1C42">
          <w:pPr>
            <w:pStyle w:val="HeaderEven"/>
            <w:jc w:val="right"/>
            <w:rPr>
              <w:b/>
            </w:rPr>
          </w:pPr>
        </w:p>
      </w:tc>
    </w:tr>
    <w:tr w:rsidR="00FD1C42">
      <w:trPr>
        <w:jc w:val="center"/>
      </w:trPr>
      <w:tc>
        <w:tcPr>
          <w:tcW w:w="6600" w:type="dxa"/>
          <w:gridSpan w:val="2"/>
          <w:tcBorders>
            <w:bottom w:val="single" w:sz="4" w:space="0" w:color="auto"/>
          </w:tcBorders>
        </w:tcPr>
        <w:p w:rsidR="00FD1C42" w:rsidRDefault="00FD1C42">
          <w:pPr>
            <w:pStyle w:val="HeaderOdd6"/>
          </w:pPr>
          <w:r>
            <w:rPr>
              <w:noProof/>
            </w:rPr>
            <w:fldChar w:fldCharType="begin"/>
          </w:r>
          <w:r>
            <w:rPr>
              <w:noProof/>
            </w:rPr>
            <w:instrText xml:space="preserve"> STYLEREF charTableText \*charformat </w:instrText>
          </w:r>
          <w:r>
            <w:rPr>
              <w:noProof/>
            </w:rPr>
            <w:fldChar w:fldCharType="separate"/>
          </w:r>
          <w:r w:rsidR="00CF7DD8">
            <w:rPr>
              <w:noProof/>
            </w:rPr>
            <w:t>Earlier republications</w:t>
          </w:r>
          <w:r>
            <w:rPr>
              <w:noProof/>
            </w:rPr>
            <w:fldChar w:fldCharType="end"/>
          </w:r>
        </w:p>
      </w:tc>
      <w:tc>
        <w:tcPr>
          <w:tcW w:w="700" w:type="dxa"/>
          <w:tcBorders>
            <w:bottom w:val="single" w:sz="4" w:space="0" w:color="auto"/>
          </w:tcBorders>
        </w:tcPr>
        <w:p w:rsidR="00FD1C42" w:rsidRDefault="00FD1C42">
          <w:pPr>
            <w:pStyle w:val="HeaderOdd6"/>
          </w:pPr>
          <w:r>
            <w:rPr>
              <w:noProof/>
            </w:rPr>
            <w:fldChar w:fldCharType="begin"/>
          </w:r>
          <w:r>
            <w:rPr>
              <w:noProof/>
            </w:rPr>
            <w:instrText xml:space="preserve"> STYLEREF charTableNo \*charformat </w:instrText>
          </w:r>
          <w:r>
            <w:rPr>
              <w:noProof/>
            </w:rPr>
            <w:fldChar w:fldCharType="separate"/>
          </w:r>
          <w:r w:rsidR="00CF7DD8">
            <w:rPr>
              <w:noProof/>
            </w:rPr>
            <w:t>5</w:t>
          </w:r>
          <w:r>
            <w:rPr>
              <w:noProof/>
            </w:rPr>
            <w:fldChar w:fldCharType="end"/>
          </w:r>
        </w:p>
      </w:tc>
    </w:tr>
  </w:tbl>
  <w:p w:rsidR="00FD1C42" w:rsidRDefault="00FD1C4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42" w:rsidRDefault="00FD1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0CE" w:rsidRDefault="00760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0CE" w:rsidRDefault="0076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D1C42">
      <w:tc>
        <w:tcPr>
          <w:tcW w:w="900" w:type="pct"/>
        </w:tcPr>
        <w:p w:rsidR="00FD1C42" w:rsidRDefault="00FD1C42">
          <w:pPr>
            <w:pStyle w:val="HeaderEven"/>
          </w:pPr>
        </w:p>
      </w:tc>
      <w:tc>
        <w:tcPr>
          <w:tcW w:w="4100" w:type="pct"/>
        </w:tcPr>
        <w:p w:rsidR="00FD1C42" w:rsidRDefault="00FD1C42">
          <w:pPr>
            <w:pStyle w:val="HeaderEven"/>
          </w:pPr>
        </w:p>
      </w:tc>
    </w:tr>
    <w:tr w:rsidR="00FD1C42">
      <w:tc>
        <w:tcPr>
          <w:tcW w:w="4100" w:type="pct"/>
          <w:gridSpan w:val="2"/>
          <w:tcBorders>
            <w:bottom w:val="single" w:sz="4" w:space="0" w:color="auto"/>
          </w:tcBorders>
        </w:tcPr>
        <w:p w:rsidR="00FD1C42" w:rsidRDefault="00FD1C42">
          <w:pPr>
            <w:pStyle w:val="HeaderEven6"/>
          </w:pPr>
          <w:r>
            <w:rPr>
              <w:noProof/>
            </w:rPr>
            <w:fldChar w:fldCharType="begin"/>
          </w:r>
          <w:r>
            <w:rPr>
              <w:noProof/>
            </w:rPr>
            <w:instrText xml:space="preserve"> STYLEREF charContents \* MERGEFORMAT </w:instrText>
          </w:r>
          <w:r>
            <w:rPr>
              <w:noProof/>
            </w:rPr>
            <w:fldChar w:fldCharType="separate"/>
          </w:r>
          <w:r w:rsidR="00CF7DD8">
            <w:rPr>
              <w:noProof/>
            </w:rPr>
            <w:t>Contents</w:t>
          </w:r>
          <w:r>
            <w:rPr>
              <w:noProof/>
            </w:rPr>
            <w:fldChar w:fldCharType="end"/>
          </w:r>
        </w:p>
      </w:tc>
    </w:tr>
  </w:tbl>
  <w:p w:rsidR="00FD1C42" w:rsidRDefault="00FD1C42">
    <w:pPr>
      <w:pStyle w:val="N-9pt"/>
    </w:pPr>
    <w:r>
      <w:tab/>
    </w:r>
    <w:r>
      <w:rPr>
        <w:noProof/>
      </w:rPr>
      <w:fldChar w:fldCharType="begin"/>
    </w:r>
    <w:r>
      <w:rPr>
        <w:noProof/>
      </w:rPr>
      <w:instrText xml:space="preserve"> STYLEREF charPage \* MERGEFORMAT </w:instrText>
    </w:r>
    <w:r>
      <w:rPr>
        <w:noProof/>
      </w:rPr>
      <w:fldChar w:fldCharType="separate"/>
    </w:r>
    <w:r w:rsidR="00CF7DD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D1C42">
      <w:tc>
        <w:tcPr>
          <w:tcW w:w="4100" w:type="pct"/>
        </w:tcPr>
        <w:p w:rsidR="00FD1C42" w:rsidRDefault="00FD1C42">
          <w:pPr>
            <w:pStyle w:val="HeaderOdd"/>
          </w:pPr>
        </w:p>
      </w:tc>
      <w:tc>
        <w:tcPr>
          <w:tcW w:w="900" w:type="pct"/>
        </w:tcPr>
        <w:p w:rsidR="00FD1C42" w:rsidRDefault="00FD1C42">
          <w:pPr>
            <w:pStyle w:val="HeaderOdd"/>
          </w:pPr>
        </w:p>
      </w:tc>
    </w:tr>
    <w:tr w:rsidR="00FD1C42">
      <w:tc>
        <w:tcPr>
          <w:tcW w:w="900" w:type="pct"/>
          <w:gridSpan w:val="2"/>
          <w:tcBorders>
            <w:bottom w:val="single" w:sz="4" w:space="0" w:color="auto"/>
          </w:tcBorders>
        </w:tcPr>
        <w:p w:rsidR="00FD1C42" w:rsidRDefault="00FD1C42">
          <w:pPr>
            <w:pStyle w:val="HeaderOdd6"/>
          </w:pPr>
          <w:r>
            <w:rPr>
              <w:noProof/>
            </w:rPr>
            <w:fldChar w:fldCharType="begin"/>
          </w:r>
          <w:r>
            <w:rPr>
              <w:noProof/>
            </w:rPr>
            <w:instrText xml:space="preserve"> STYLEREF charContents \* MERGEFORMAT </w:instrText>
          </w:r>
          <w:r>
            <w:rPr>
              <w:noProof/>
            </w:rPr>
            <w:fldChar w:fldCharType="separate"/>
          </w:r>
          <w:r w:rsidR="00CF7DD8">
            <w:rPr>
              <w:noProof/>
            </w:rPr>
            <w:t>Contents</w:t>
          </w:r>
          <w:r>
            <w:rPr>
              <w:noProof/>
            </w:rPr>
            <w:fldChar w:fldCharType="end"/>
          </w:r>
        </w:p>
      </w:tc>
    </w:tr>
  </w:tbl>
  <w:p w:rsidR="00FD1C42" w:rsidRDefault="00FD1C42">
    <w:pPr>
      <w:pStyle w:val="N-9pt"/>
    </w:pPr>
    <w:r>
      <w:tab/>
    </w:r>
    <w:r>
      <w:rPr>
        <w:noProof/>
      </w:rPr>
      <w:fldChar w:fldCharType="begin"/>
    </w:r>
    <w:r>
      <w:rPr>
        <w:noProof/>
      </w:rPr>
      <w:instrText xml:space="preserve"> STYLEREF charPage \* MERGEFORMAT </w:instrText>
    </w:r>
    <w:r>
      <w:rPr>
        <w:noProof/>
      </w:rPr>
      <w:fldChar w:fldCharType="separate"/>
    </w:r>
    <w:r w:rsidR="00CF7DD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D1C42">
      <w:tc>
        <w:tcPr>
          <w:tcW w:w="900" w:type="pct"/>
        </w:tcPr>
        <w:p w:rsidR="00FD1C42" w:rsidRDefault="00FD1C42">
          <w:pPr>
            <w:pStyle w:val="HeaderEven"/>
            <w:rPr>
              <w:b/>
            </w:rPr>
          </w:pPr>
          <w:r>
            <w:rPr>
              <w:b/>
            </w:rPr>
            <w:fldChar w:fldCharType="begin"/>
          </w:r>
          <w:r>
            <w:rPr>
              <w:b/>
            </w:rPr>
            <w:instrText xml:space="preserve"> STYLEREF CharPartNo \*charformat </w:instrText>
          </w:r>
          <w:r>
            <w:rPr>
              <w:b/>
            </w:rPr>
            <w:fldChar w:fldCharType="separate"/>
          </w:r>
          <w:r w:rsidR="00CF7DD8">
            <w:rPr>
              <w:b/>
              <w:noProof/>
            </w:rPr>
            <w:t>Part 10</w:t>
          </w:r>
          <w:r>
            <w:rPr>
              <w:b/>
            </w:rPr>
            <w:fldChar w:fldCharType="end"/>
          </w:r>
        </w:p>
      </w:tc>
      <w:tc>
        <w:tcPr>
          <w:tcW w:w="4100" w:type="pct"/>
        </w:tcPr>
        <w:p w:rsidR="00FD1C42" w:rsidRDefault="00FD1C42">
          <w:pPr>
            <w:pStyle w:val="HeaderEven"/>
          </w:pPr>
          <w:r>
            <w:rPr>
              <w:noProof/>
            </w:rPr>
            <w:fldChar w:fldCharType="begin"/>
          </w:r>
          <w:r>
            <w:rPr>
              <w:noProof/>
            </w:rPr>
            <w:instrText xml:space="preserve"> STYLEREF CharPartText \*charformat </w:instrText>
          </w:r>
          <w:r>
            <w:rPr>
              <w:noProof/>
            </w:rPr>
            <w:fldChar w:fldCharType="separate"/>
          </w:r>
          <w:r w:rsidR="00CF7DD8">
            <w:rPr>
              <w:noProof/>
            </w:rPr>
            <w:t>Miscellaneous</w:t>
          </w:r>
          <w:r>
            <w:rPr>
              <w:noProof/>
            </w:rPr>
            <w:fldChar w:fldCharType="end"/>
          </w:r>
        </w:p>
      </w:tc>
    </w:tr>
    <w:tr w:rsidR="00FD1C42">
      <w:tc>
        <w:tcPr>
          <w:tcW w:w="900" w:type="pct"/>
        </w:tcPr>
        <w:p w:rsidR="00FD1C42" w:rsidRDefault="00FD1C42">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D1C42" w:rsidRDefault="00FD1C42">
          <w:pPr>
            <w:pStyle w:val="HeaderEven"/>
          </w:pPr>
          <w:r>
            <w:fldChar w:fldCharType="begin"/>
          </w:r>
          <w:r>
            <w:instrText xml:space="preserve"> STYLEREF CharDivText \*charformat </w:instrText>
          </w:r>
          <w:r>
            <w:fldChar w:fldCharType="end"/>
          </w:r>
        </w:p>
      </w:tc>
    </w:tr>
    <w:tr w:rsidR="00FD1C42">
      <w:trPr>
        <w:cantSplit/>
      </w:trPr>
      <w:tc>
        <w:tcPr>
          <w:tcW w:w="4997" w:type="pct"/>
          <w:gridSpan w:val="2"/>
          <w:tcBorders>
            <w:bottom w:val="single" w:sz="4" w:space="0" w:color="auto"/>
          </w:tcBorders>
        </w:tcPr>
        <w:p w:rsidR="00FD1C42" w:rsidRDefault="00CF7DD8">
          <w:pPr>
            <w:pStyle w:val="HeaderEven6"/>
          </w:pPr>
          <w:r>
            <w:fldChar w:fldCharType="begin"/>
          </w:r>
          <w:r>
            <w:instrText xml:space="preserve"> DOCPROPERTY "Company"  \* MERGEFORMAT </w:instrText>
          </w:r>
          <w:r>
            <w:fldChar w:fldCharType="separate"/>
          </w:r>
          <w:r w:rsidR="008070C0">
            <w:t>Section</w:t>
          </w:r>
          <w:r>
            <w:fldChar w:fldCharType="end"/>
          </w:r>
          <w:r w:rsidR="00FD1C42">
            <w:t xml:space="preserve"> </w:t>
          </w:r>
          <w:r w:rsidR="00FD1C42">
            <w:rPr>
              <w:noProof/>
            </w:rPr>
            <w:fldChar w:fldCharType="begin"/>
          </w:r>
          <w:r w:rsidR="00FD1C42">
            <w:rPr>
              <w:noProof/>
            </w:rPr>
            <w:instrText xml:space="preserve"> STYLEREF CharSectNo \*charformat </w:instrText>
          </w:r>
          <w:r w:rsidR="00FD1C42">
            <w:rPr>
              <w:noProof/>
            </w:rPr>
            <w:fldChar w:fldCharType="separate"/>
          </w:r>
          <w:r>
            <w:rPr>
              <w:noProof/>
            </w:rPr>
            <w:t>76</w:t>
          </w:r>
          <w:r w:rsidR="00FD1C42">
            <w:rPr>
              <w:noProof/>
            </w:rPr>
            <w:fldChar w:fldCharType="end"/>
          </w:r>
        </w:p>
      </w:tc>
    </w:tr>
  </w:tbl>
  <w:p w:rsidR="00FD1C42" w:rsidRDefault="00FD1C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D1C42">
      <w:tc>
        <w:tcPr>
          <w:tcW w:w="4100" w:type="pct"/>
        </w:tcPr>
        <w:p w:rsidR="00FD1C42" w:rsidRDefault="00FD1C42">
          <w:pPr>
            <w:pStyle w:val="HeaderEven"/>
            <w:jc w:val="right"/>
          </w:pPr>
          <w:r>
            <w:rPr>
              <w:noProof/>
            </w:rPr>
            <w:fldChar w:fldCharType="begin"/>
          </w:r>
          <w:r>
            <w:rPr>
              <w:noProof/>
            </w:rPr>
            <w:instrText xml:space="preserve"> STYLEREF CharPartText \*charformat </w:instrText>
          </w:r>
          <w:r>
            <w:rPr>
              <w:noProof/>
            </w:rPr>
            <w:fldChar w:fldCharType="separate"/>
          </w:r>
          <w:r w:rsidR="00CF7DD8">
            <w:rPr>
              <w:noProof/>
            </w:rPr>
            <w:t>Miscellaneous</w:t>
          </w:r>
          <w:r>
            <w:rPr>
              <w:noProof/>
            </w:rPr>
            <w:fldChar w:fldCharType="end"/>
          </w:r>
        </w:p>
      </w:tc>
      <w:tc>
        <w:tcPr>
          <w:tcW w:w="900" w:type="pct"/>
        </w:tcPr>
        <w:p w:rsidR="00FD1C42" w:rsidRDefault="00FD1C42">
          <w:pPr>
            <w:pStyle w:val="HeaderEven"/>
            <w:jc w:val="right"/>
            <w:rPr>
              <w:b/>
            </w:rPr>
          </w:pPr>
          <w:r>
            <w:rPr>
              <w:b/>
            </w:rPr>
            <w:fldChar w:fldCharType="begin"/>
          </w:r>
          <w:r>
            <w:rPr>
              <w:b/>
            </w:rPr>
            <w:instrText xml:space="preserve"> STYLEREF CharPartNo \*charformat </w:instrText>
          </w:r>
          <w:r>
            <w:rPr>
              <w:b/>
            </w:rPr>
            <w:fldChar w:fldCharType="separate"/>
          </w:r>
          <w:r w:rsidR="00CF7DD8">
            <w:rPr>
              <w:b/>
              <w:noProof/>
            </w:rPr>
            <w:t>Part 10</w:t>
          </w:r>
          <w:r>
            <w:rPr>
              <w:b/>
            </w:rPr>
            <w:fldChar w:fldCharType="end"/>
          </w:r>
        </w:p>
      </w:tc>
    </w:tr>
    <w:tr w:rsidR="00FD1C42">
      <w:tc>
        <w:tcPr>
          <w:tcW w:w="4100" w:type="pct"/>
        </w:tcPr>
        <w:p w:rsidR="00FD1C42" w:rsidRDefault="00FD1C42">
          <w:pPr>
            <w:pStyle w:val="HeaderEven"/>
            <w:jc w:val="right"/>
          </w:pPr>
          <w:r>
            <w:fldChar w:fldCharType="begin"/>
          </w:r>
          <w:r>
            <w:instrText xml:space="preserve"> STYLEREF CharDivText \*charformat </w:instrText>
          </w:r>
          <w:r>
            <w:fldChar w:fldCharType="end"/>
          </w:r>
        </w:p>
      </w:tc>
      <w:tc>
        <w:tcPr>
          <w:tcW w:w="900" w:type="pct"/>
        </w:tcPr>
        <w:p w:rsidR="00FD1C42" w:rsidRDefault="00FD1C42">
          <w:pPr>
            <w:pStyle w:val="HeaderEven"/>
            <w:jc w:val="right"/>
            <w:rPr>
              <w:b/>
            </w:rPr>
          </w:pPr>
          <w:r>
            <w:rPr>
              <w:b/>
            </w:rPr>
            <w:fldChar w:fldCharType="begin"/>
          </w:r>
          <w:r>
            <w:rPr>
              <w:b/>
            </w:rPr>
            <w:instrText xml:space="preserve"> STYLEREF CharDivNo \*charformat </w:instrText>
          </w:r>
          <w:r>
            <w:rPr>
              <w:b/>
            </w:rPr>
            <w:fldChar w:fldCharType="end"/>
          </w:r>
        </w:p>
      </w:tc>
    </w:tr>
    <w:tr w:rsidR="00FD1C42">
      <w:trPr>
        <w:cantSplit/>
      </w:trPr>
      <w:tc>
        <w:tcPr>
          <w:tcW w:w="5000" w:type="pct"/>
          <w:gridSpan w:val="2"/>
          <w:tcBorders>
            <w:bottom w:val="single" w:sz="4" w:space="0" w:color="auto"/>
          </w:tcBorders>
        </w:tcPr>
        <w:p w:rsidR="00FD1C42" w:rsidRDefault="00CF7DD8">
          <w:pPr>
            <w:pStyle w:val="HeaderOdd6"/>
          </w:pPr>
          <w:r>
            <w:fldChar w:fldCharType="begin"/>
          </w:r>
          <w:r>
            <w:instrText xml:space="preserve"> DOCPROPERTY "Company"  \* MERGEFORMAT </w:instrText>
          </w:r>
          <w:r>
            <w:fldChar w:fldCharType="separate"/>
          </w:r>
          <w:r w:rsidR="008070C0">
            <w:t>Section</w:t>
          </w:r>
          <w:r>
            <w:fldChar w:fldCharType="end"/>
          </w:r>
          <w:r w:rsidR="00FD1C42">
            <w:t xml:space="preserve"> </w:t>
          </w:r>
          <w:r w:rsidR="00FD1C42">
            <w:rPr>
              <w:noProof/>
            </w:rPr>
            <w:fldChar w:fldCharType="begin"/>
          </w:r>
          <w:r w:rsidR="00FD1C42">
            <w:rPr>
              <w:noProof/>
            </w:rPr>
            <w:instrText xml:space="preserve"> STYLEREF CharSectNo \*charformat </w:instrText>
          </w:r>
          <w:r w:rsidR="00FD1C42">
            <w:rPr>
              <w:noProof/>
            </w:rPr>
            <w:fldChar w:fldCharType="separate"/>
          </w:r>
          <w:r>
            <w:rPr>
              <w:noProof/>
            </w:rPr>
            <w:t>77</w:t>
          </w:r>
          <w:r w:rsidR="00FD1C42">
            <w:rPr>
              <w:noProof/>
            </w:rPr>
            <w:fldChar w:fldCharType="end"/>
          </w:r>
        </w:p>
      </w:tc>
    </w:tr>
  </w:tbl>
  <w:p w:rsidR="00FD1C42" w:rsidRDefault="00FD1C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D1C42">
      <w:trPr>
        <w:jc w:val="center"/>
      </w:trPr>
      <w:tc>
        <w:tcPr>
          <w:tcW w:w="1340" w:type="dxa"/>
        </w:tcPr>
        <w:p w:rsidR="00FD1C42" w:rsidRDefault="00FD1C42">
          <w:pPr>
            <w:pStyle w:val="HeaderEven"/>
          </w:pPr>
        </w:p>
      </w:tc>
      <w:tc>
        <w:tcPr>
          <w:tcW w:w="6583" w:type="dxa"/>
        </w:tcPr>
        <w:p w:rsidR="00FD1C42" w:rsidRDefault="00FD1C42">
          <w:pPr>
            <w:pStyle w:val="HeaderEven"/>
          </w:pPr>
        </w:p>
      </w:tc>
    </w:tr>
    <w:tr w:rsidR="00FD1C42">
      <w:trPr>
        <w:jc w:val="center"/>
      </w:trPr>
      <w:tc>
        <w:tcPr>
          <w:tcW w:w="7923" w:type="dxa"/>
          <w:gridSpan w:val="2"/>
          <w:tcBorders>
            <w:bottom w:val="single" w:sz="4" w:space="0" w:color="auto"/>
          </w:tcBorders>
        </w:tcPr>
        <w:p w:rsidR="00FD1C42" w:rsidRDefault="00FD1C42">
          <w:pPr>
            <w:pStyle w:val="HeaderEven6"/>
          </w:pPr>
          <w:r>
            <w:t>Dictionary</w:t>
          </w:r>
        </w:p>
      </w:tc>
    </w:tr>
  </w:tbl>
  <w:p w:rsidR="00FD1C42" w:rsidRDefault="00FD1C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D1C42">
      <w:trPr>
        <w:jc w:val="center"/>
      </w:trPr>
      <w:tc>
        <w:tcPr>
          <w:tcW w:w="6583" w:type="dxa"/>
        </w:tcPr>
        <w:p w:rsidR="00FD1C42" w:rsidRDefault="00FD1C42">
          <w:pPr>
            <w:pStyle w:val="HeaderOdd"/>
          </w:pPr>
        </w:p>
      </w:tc>
      <w:tc>
        <w:tcPr>
          <w:tcW w:w="1340" w:type="dxa"/>
        </w:tcPr>
        <w:p w:rsidR="00FD1C42" w:rsidRDefault="00FD1C42">
          <w:pPr>
            <w:pStyle w:val="HeaderOdd"/>
          </w:pPr>
        </w:p>
      </w:tc>
    </w:tr>
    <w:tr w:rsidR="00FD1C42">
      <w:trPr>
        <w:jc w:val="center"/>
      </w:trPr>
      <w:tc>
        <w:tcPr>
          <w:tcW w:w="7923" w:type="dxa"/>
          <w:gridSpan w:val="2"/>
          <w:tcBorders>
            <w:bottom w:val="single" w:sz="4" w:space="0" w:color="auto"/>
          </w:tcBorders>
        </w:tcPr>
        <w:p w:rsidR="00FD1C42" w:rsidRDefault="00FD1C42">
          <w:pPr>
            <w:pStyle w:val="HeaderOdd6"/>
          </w:pPr>
          <w:r>
            <w:t>Dictionary</w:t>
          </w:r>
        </w:p>
      </w:tc>
    </w:tr>
  </w:tbl>
  <w:p w:rsidR="00FD1C42" w:rsidRDefault="00FD1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47B51BC9"/>
    <w:multiLevelType w:val="multilevel"/>
    <w:tmpl w:val="8FD446E2"/>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3" w15:restartNumberingAfterBreak="0">
    <w:nsid w:val="7DE03FBA"/>
    <w:multiLevelType w:val="singleLevel"/>
    <w:tmpl w:val="E078F7A4"/>
    <w:name w:val="SchClause2"/>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6"/>
  </w:num>
  <w:num w:numId="3">
    <w:abstractNumId w:val="21"/>
  </w:num>
  <w:num w:numId="4">
    <w:abstractNumId w:val="18"/>
  </w:num>
  <w:num w:numId="5">
    <w:abstractNumId w:val="25"/>
  </w:num>
  <w:num w:numId="6">
    <w:abstractNumId w:val="15"/>
  </w:num>
  <w:num w:numId="7">
    <w:abstractNumId w:val="17"/>
  </w:num>
  <w:num w:numId="8">
    <w:abstractNumId w:val="33"/>
  </w:num>
  <w:num w:numId="9">
    <w:abstractNumId w:val="23"/>
    <w:lvlOverride w:ilvl="0">
      <w:startOverride w:val="1"/>
    </w:lvlOverride>
  </w:num>
  <w:num w:numId="10">
    <w:abstractNumId w:val="28"/>
  </w:num>
  <w:num w:numId="11">
    <w:abstractNumId w:val="3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24"/>
  </w:num>
  <w:num w:numId="24">
    <w:abstractNumId w:val="16"/>
  </w:num>
  <w:num w:numId="2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B3"/>
    <w:rsid w:val="00005F31"/>
    <w:rsid w:val="000062E9"/>
    <w:rsid w:val="00013605"/>
    <w:rsid w:val="00020038"/>
    <w:rsid w:val="00020AA8"/>
    <w:rsid w:val="00021215"/>
    <w:rsid w:val="0002183C"/>
    <w:rsid w:val="00031046"/>
    <w:rsid w:val="0003141D"/>
    <w:rsid w:val="000333A2"/>
    <w:rsid w:val="000446F2"/>
    <w:rsid w:val="000455FA"/>
    <w:rsid w:val="0004633D"/>
    <w:rsid w:val="0005001D"/>
    <w:rsid w:val="00054744"/>
    <w:rsid w:val="000555A5"/>
    <w:rsid w:val="00056AB2"/>
    <w:rsid w:val="0006270F"/>
    <w:rsid w:val="00062DF6"/>
    <w:rsid w:val="000641F0"/>
    <w:rsid w:val="00070B4D"/>
    <w:rsid w:val="00070D10"/>
    <w:rsid w:val="000812EE"/>
    <w:rsid w:val="0008401E"/>
    <w:rsid w:val="000B6445"/>
    <w:rsid w:val="000C663D"/>
    <w:rsid w:val="000D3B33"/>
    <w:rsid w:val="000E6C40"/>
    <w:rsid w:val="00103AB5"/>
    <w:rsid w:val="00107F19"/>
    <w:rsid w:val="001112FA"/>
    <w:rsid w:val="00133A1D"/>
    <w:rsid w:val="001454FC"/>
    <w:rsid w:val="001959D4"/>
    <w:rsid w:val="001A0B51"/>
    <w:rsid w:val="001A4C49"/>
    <w:rsid w:val="001B39F4"/>
    <w:rsid w:val="001C0B89"/>
    <w:rsid w:val="001D2FC7"/>
    <w:rsid w:val="001D3886"/>
    <w:rsid w:val="001D39B6"/>
    <w:rsid w:val="001D69C8"/>
    <w:rsid w:val="001F32D4"/>
    <w:rsid w:val="001F5F33"/>
    <w:rsid w:val="001F7043"/>
    <w:rsid w:val="0020658B"/>
    <w:rsid w:val="00206992"/>
    <w:rsid w:val="00206C71"/>
    <w:rsid w:val="002135EE"/>
    <w:rsid w:val="00220CF8"/>
    <w:rsid w:val="00267A5B"/>
    <w:rsid w:val="00272EE8"/>
    <w:rsid w:val="00277336"/>
    <w:rsid w:val="00281113"/>
    <w:rsid w:val="002817DF"/>
    <w:rsid w:val="00282855"/>
    <w:rsid w:val="002869F1"/>
    <w:rsid w:val="002910A9"/>
    <w:rsid w:val="00294027"/>
    <w:rsid w:val="00297937"/>
    <w:rsid w:val="00297C02"/>
    <w:rsid w:val="002A1BA2"/>
    <w:rsid w:val="002B1B10"/>
    <w:rsid w:val="002B3A5B"/>
    <w:rsid w:val="002C0630"/>
    <w:rsid w:val="002C6A2C"/>
    <w:rsid w:val="002D1BEE"/>
    <w:rsid w:val="002D2E9F"/>
    <w:rsid w:val="002E3A23"/>
    <w:rsid w:val="003000C6"/>
    <w:rsid w:val="003038D1"/>
    <w:rsid w:val="00306C18"/>
    <w:rsid w:val="0031189C"/>
    <w:rsid w:val="00317123"/>
    <w:rsid w:val="00320E70"/>
    <w:rsid w:val="0032371E"/>
    <w:rsid w:val="00327B0C"/>
    <w:rsid w:val="003311D3"/>
    <w:rsid w:val="003351D6"/>
    <w:rsid w:val="003364DF"/>
    <w:rsid w:val="003555F5"/>
    <w:rsid w:val="00360F49"/>
    <w:rsid w:val="003746B6"/>
    <w:rsid w:val="00375610"/>
    <w:rsid w:val="00386F08"/>
    <w:rsid w:val="0039286B"/>
    <w:rsid w:val="003A1E95"/>
    <w:rsid w:val="003A58B5"/>
    <w:rsid w:val="003A65C5"/>
    <w:rsid w:val="003C5FD5"/>
    <w:rsid w:val="003D40DE"/>
    <w:rsid w:val="003D4D62"/>
    <w:rsid w:val="003F2163"/>
    <w:rsid w:val="00400642"/>
    <w:rsid w:val="00402E0E"/>
    <w:rsid w:val="00405D2A"/>
    <w:rsid w:val="004079DE"/>
    <w:rsid w:val="004156EE"/>
    <w:rsid w:val="00421EEB"/>
    <w:rsid w:val="0042520A"/>
    <w:rsid w:val="004324FA"/>
    <w:rsid w:val="004451D0"/>
    <w:rsid w:val="0044756B"/>
    <w:rsid w:val="00453466"/>
    <w:rsid w:val="0046418C"/>
    <w:rsid w:val="00494E5D"/>
    <w:rsid w:val="004971EE"/>
    <w:rsid w:val="00497A05"/>
    <w:rsid w:val="004A0FD6"/>
    <w:rsid w:val="004A330F"/>
    <w:rsid w:val="004B0023"/>
    <w:rsid w:val="004B18B1"/>
    <w:rsid w:val="004C777A"/>
    <w:rsid w:val="004D7BDA"/>
    <w:rsid w:val="004F3002"/>
    <w:rsid w:val="004F685D"/>
    <w:rsid w:val="0051475E"/>
    <w:rsid w:val="00526C6C"/>
    <w:rsid w:val="00533164"/>
    <w:rsid w:val="00547BF7"/>
    <w:rsid w:val="0056305C"/>
    <w:rsid w:val="0056525D"/>
    <w:rsid w:val="00567E8C"/>
    <w:rsid w:val="00572B83"/>
    <w:rsid w:val="00575C11"/>
    <w:rsid w:val="00582ED2"/>
    <w:rsid w:val="00586F16"/>
    <w:rsid w:val="005B33DF"/>
    <w:rsid w:val="005B6E18"/>
    <w:rsid w:val="005C2950"/>
    <w:rsid w:val="005D1D93"/>
    <w:rsid w:val="005D77AE"/>
    <w:rsid w:val="005E16A1"/>
    <w:rsid w:val="005F1B19"/>
    <w:rsid w:val="005F2B13"/>
    <w:rsid w:val="00613C19"/>
    <w:rsid w:val="00627519"/>
    <w:rsid w:val="00630B8A"/>
    <w:rsid w:val="00630F04"/>
    <w:rsid w:val="00636486"/>
    <w:rsid w:val="00637232"/>
    <w:rsid w:val="00642576"/>
    <w:rsid w:val="00644ED8"/>
    <w:rsid w:val="00645CF8"/>
    <w:rsid w:val="00653F6D"/>
    <w:rsid w:val="00663D66"/>
    <w:rsid w:val="00663F29"/>
    <w:rsid w:val="00665A8C"/>
    <w:rsid w:val="00671742"/>
    <w:rsid w:val="006771C7"/>
    <w:rsid w:val="00694A16"/>
    <w:rsid w:val="00696BC7"/>
    <w:rsid w:val="006A2ED2"/>
    <w:rsid w:val="006A589B"/>
    <w:rsid w:val="006B41B0"/>
    <w:rsid w:val="006C0A55"/>
    <w:rsid w:val="006C347E"/>
    <w:rsid w:val="006D3DA6"/>
    <w:rsid w:val="006E61EC"/>
    <w:rsid w:val="006F2470"/>
    <w:rsid w:val="00701059"/>
    <w:rsid w:val="007018C2"/>
    <w:rsid w:val="00702793"/>
    <w:rsid w:val="00705D89"/>
    <w:rsid w:val="00707653"/>
    <w:rsid w:val="007122C0"/>
    <w:rsid w:val="007144AF"/>
    <w:rsid w:val="007161E4"/>
    <w:rsid w:val="00727AF4"/>
    <w:rsid w:val="007335FF"/>
    <w:rsid w:val="007363AA"/>
    <w:rsid w:val="007600CE"/>
    <w:rsid w:val="00763001"/>
    <w:rsid w:val="00764DA4"/>
    <w:rsid w:val="007818E9"/>
    <w:rsid w:val="00794F7A"/>
    <w:rsid w:val="007A67C3"/>
    <w:rsid w:val="007B00B6"/>
    <w:rsid w:val="007B1F43"/>
    <w:rsid w:val="007C2D79"/>
    <w:rsid w:val="007E5E22"/>
    <w:rsid w:val="007F274E"/>
    <w:rsid w:val="00806F10"/>
    <w:rsid w:val="008070C0"/>
    <w:rsid w:val="00814A14"/>
    <w:rsid w:val="0082022D"/>
    <w:rsid w:val="008349C7"/>
    <w:rsid w:val="00836523"/>
    <w:rsid w:val="00846DA0"/>
    <w:rsid w:val="008A05CD"/>
    <w:rsid w:val="008A7484"/>
    <w:rsid w:val="008B038D"/>
    <w:rsid w:val="008E60C2"/>
    <w:rsid w:val="008F217A"/>
    <w:rsid w:val="008F2875"/>
    <w:rsid w:val="00901ECB"/>
    <w:rsid w:val="0091416E"/>
    <w:rsid w:val="00914C63"/>
    <w:rsid w:val="00925D2A"/>
    <w:rsid w:val="00933F6E"/>
    <w:rsid w:val="009451CA"/>
    <w:rsid w:val="00950643"/>
    <w:rsid w:val="009611F0"/>
    <w:rsid w:val="00970F35"/>
    <w:rsid w:val="009720B3"/>
    <w:rsid w:val="009802F5"/>
    <w:rsid w:val="009841FF"/>
    <w:rsid w:val="009B2F71"/>
    <w:rsid w:val="009C101C"/>
    <w:rsid w:val="009D5691"/>
    <w:rsid w:val="009D7FB1"/>
    <w:rsid w:val="009E72B2"/>
    <w:rsid w:val="009E7EAC"/>
    <w:rsid w:val="009F622D"/>
    <w:rsid w:val="00A062DB"/>
    <w:rsid w:val="00A076EF"/>
    <w:rsid w:val="00A12C50"/>
    <w:rsid w:val="00A12EF5"/>
    <w:rsid w:val="00A21EA9"/>
    <w:rsid w:val="00A24BBE"/>
    <w:rsid w:val="00A32235"/>
    <w:rsid w:val="00A40B77"/>
    <w:rsid w:val="00A53A62"/>
    <w:rsid w:val="00A55734"/>
    <w:rsid w:val="00A57049"/>
    <w:rsid w:val="00A60697"/>
    <w:rsid w:val="00A64462"/>
    <w:rsid w:val="00A6619A"/>
    <w:rsid w:val="00A75111"/>
    <w:rsid w:val="00A81404"/>
    <w:rsid w:val="00A81B0A"/>
    <w:rsid w:val="00A9360A"/>
    <w:rsid w:val="00A96AC4"/>
    <w:rsid w:val="00AA45E2"/>
    <w:rsid w:val="00AA72C9"/>
    <w:rsid w:val="00AC1391"/>
    <w:rsid w:val="00AE1194"/>
    <w:rsid w:val="00AE15F6"/>
    <w:rsid w:val="00AE4732"/>
    <w:rsid w:val="00AE5BD4"/>
    <w:rsid w:val="00AF3E21"/>
    <w:rsid w:val="00B01677"/>
    <w:rsid w:val="00B02496"/>
    <w:rsid w:val="00B03DB5"/>
    <w:rsid w:val="00B043CD"/>
    <w:rsid w:val="00B305D1"/>
    <w:rsid w:val="00B52FCD"/>
    <w:rsid w:val="00B5774B"/>
    <w:rsid w:val="00B6380A"/>
    <w:rsid w:val="00B6571D"/>
    <w:rsid w:val="00B6736B"/>
    <w:rsid w:val="00B801E9"/>
    <w:rsid w:val="00B80B8B"/>
    <w:rsid w:val="00B83830"/>
    <w:rsid w:val="00B86C62"/>
    <w:rsid w:val="00B91150"/>
    <w:rsid w:val="00B9403A"/>
    <w:rsid w:val="00BB4BF3"/>
    <w:rsid w:val="00BB5F1B"/>
    <w:rsid w:val="00BB5FF5"/>
    <w:rsid w:val="00BD3FDF"/>
    <w:rsid w:val="00BE1251"/>
    <w:rsid w:val="00BF0E92"/>
    <w:rsid w:val="00BF398E"/>
    <w:rsid w:val="00C03FFE"/>
    <w:rsid w:val="00C16E79"/>
    <w:rsid w:val="00C2070A"/>
    <w:rsid w:val="00C20A57"/>
    <w:rsid w:val="00C2405E"/>
    <w:rsid w:val="00C2432F"/>
    <w:rsid w:val="00C3314B"/>
    <w:rsid w:val="00C3435E"/>
    <w:rsid w:val="00C40540"/>
    <w:rsid w:val="00C41397"/>
    <w:rsid w:val="00C5725D"/>
    <w:rsid w:val="00C61ED8"/>
    <w:rsid w:val="00C664ED"/>
    <w:rsid w:val="00C76BBA"/>
    <w:rsid w:val="00C811A9"/>
    <w:rsid w:val="00C907F7"/>
    <w:rsid w:val="00CB5685"/>
    <w:rsid w:val="00CC113B"/>
    <w:rsid w:val="00CC7F44"/>
    <w:rsid w:val="00CD38CF"/>
    <w:rsid w:val="00CE20FA"/>
    <w:rsid w:val="00CF1425"/>
    <w:rsid w:val="00CF7DD8"/>
    <w:rsid w:val="00CF7F65"/>
    <w:rsid w:val="00D010E0"/>
    <w:rsid w:val="00D0462F"/>
    <w:rsid w:val="00D059DC"/>
    <w:rsid w:val="00D319C5"/>
    <w:rsid w:val="00D418AD"/>
    <w:rsid w:val="00D42056"/>
    <w:rsid w:val="00D4244F"/>
    <w:rsid w:val="00D4330C"/>
    <w:rsid w:val="00D47C64"/>
    <w:rsid w:val="00D74C89"/>
    <w:rsid w:val="00D74D3D"/>
    <w:rsid w:val="00D7766E"/>
    <w:rsid w:val="00D77726"/>
    <w:rsid w:val="00D854C5"/>
    <w:rsid w:val="00D85EBB"/>
    <w:rsid w:val="00D87436"/>
    <w:rsid w:val="00D9196A"/>
    <w:rsid w:val="00D95A1D"/>
    <w:rsid w:val="00DA2A9E"/>
    <w:rsid w:val="00DD0327"/>
    <w:rsid w:val="00DE34F5"/>
    <w:rsid w:val="00E02CE7"/>
    <w:rsid w:val="00E46293"/>
    <w:rsid w:val="00E54DD9"/>
    <w:rsid w:val="00E66245"/>
    <w:rsid w:val="00E819CD"/>
    <w:rsid w:val="00E86710"/>
    <w:rsid w:val="00EA623B"/>
    <w:rsid w:val="00EB531C"/>
    <w:rsid w:val="00EB6445"/>
    <w:rsid w:val="00EC4452"/>
    <w:rsid w:val="00EC7321"/>
    <w:rsid w:val="00EE3EA5"/>
    <w:rsid w:val="00EF1222"/>
    <w:rsid w:val="00F0038F"/>
    <w:rsid w:val="00F023A1"/>
    <w:rsid w:val="00F02D78"/>
    <w:rsid w:val="00F20944"/>
    <w:rsid w:val="00F21367"/>
    <w:rsid w:val="00F216C6"/>
    <w:rsid w:val="00F3249D"/>
    <w:rsid w:val="00F33BC5"/>
    <w:rsid w:val="00F34175"/>
    <w:rsid w:val="00F461F1"/>
    <w:rsid w:val="00F6130B"/>
    <w:rsid w:val="00F8155D"/>
    <w:rsid w:val="00F81ACB"/>
    <w:rsid w:val="00F860E4"/>
    <w:rsid w:val="00F921DC"/>
    <w:rsid w:val="00FA300F"/>
    <w:rsid w:val="00FA4340"/>
    <w:rsid w:val="00FA5C0D"/>
    <w:rsid w:val="00FA5C7B"/>
    <w:rsid w:val="00FB1454"/>
    <w:rsid w:val="00FC4DF2"/>
    <w:rsid w:val="00FC7204"/>
    <w:rsid w:val="00FC74FE"/>
    <w:rsid w:val="00FD1170"/>
    <w:rsid w:val="00FD1C42"/>
    <w:rsid w:val="00FD6ADA"/>
    <w:rsid w:val="00FE14D9"/>
    <w:rsid w:val="00FE38B9"/>
    <w:rsid w:val="00FF1BBD"/>
    <w:rsid w:val="00FF2FDB"/>
    <w:rsid w:val="00FF3523"/>
    <w:rsid w:val="00FF4976"/>
    <w:rsid w:val="00FF4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F264687-07EA-4D1E-B6C4-4BBA719E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12EE"/>
    <w:rPr>
      <w:sz w:val="24"/>
      <w:lang w:eastAsia="en-US"/>
    </w:rPr>
  </w:style>
  <w:style w:type="paragraph" w:styleId="Heading1">
    <w:name w:val="heading 1"/>
    <w:basedOn w:val="Normal"/>
    <w:next w:val="Normal"/>
    <w:qFormat/>
    <w:rsid w:val="000812E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812E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812EE"/>
    <w:pPr>
      <w:keepNext/>
      <w:spacing w:before="140"/>
      <w:outlineLvl w:val="2"/>
    </w:pPr>
    <w:rPr>
      <w:b/>
    </w:rPr>
  </w:style>
  <w:style w:type="paragraph" w:styleId="Heading4">
    <w:name w:val="heading 4"/>
    <w:basedOn w:val="Normal"/>
    <w:next w:val="Normal"/>
    <w:qFormat/>
    <w:rsid w:val="000812EE"/>
    <w:pPr>
      <w:keepNext/>
      <w:spacing w:before="240" w:after="60"/>
      <w:outlineLvl w:val="3"/>
    </w:pPr>
    <w:rPr>
      <w:rFonts w:ascii="Arial" w:hAnsi="Arial"/>
      <w:b/>
      <w:bCs/>
      <w:sz w:val="22"/>
      <w:szCs w:val="28"/>
    </w:rPr>
  </w:style>
  <w:style w:type="paragraph" w:styleId="Heading5">
    <w:name w:val="heading 5"/>
    <w:basedOn w:val="Normal"/>
    <w:next w:val="Normal"/>
    <w:qFormat/>
    <w:rsid w:val="000333A2"/>
    <w:pPr>
      <w:numPr>
        <w:ilvl w:val="4"/>
        <w:numId w:val="1"/>
      </w:numPr>
      <w:spacing w:before="240" w:after="60"/>
      <w:outlineLvl w:val="4"/>
    </w:pPr>
    <w:rPr>
      <w:sz w:val="22"/>
    </w:rPr>
  </w:style>
  <w:style w:type="paragraph" w:styleId="Heading6">
    <w:name w:val="heading 6"/>
    <w:basedOn w:val="Normal"/>
    <w:next w:val="Normal"/>
    <w:qFormat/>
    <w:rsid w:val="000333A2"/>
    <w:pPr>
      <w:numPr>
        <w:ilvl w:val="5"/>
        <w:numId w:val="1"/>
      </w:numPr>
      <w:spacing w:before="240" w:after="60"/>
      <w:outlineLvl w:val="5"/>
    </w:pPr>
    <w:rPr>
      <w:i/>
      <w:sz w:val="22"/>
    </w:rPr>
  </w:style>
  <w:style w:type="paragraph" w:styleId="Heading7">
    <w:name w:val="heading 7"/>
    <w:basedOn w:val="Normal"/>
    <w:next w:val="Normal"/>
    <w:qFormat/>
    <w:rsid w:val="000333A2"/>
    <w:pPr>
      <w:numPr>
        <w:ilvl w:val="6"/>
        <w:numId w:val="1"/>
      </w:numPr>
      <w:spacing w:before="240" w:after="60"/>
      <w:outlineLvl w:val="6"/>
    </w:pPr>
    <w:rPr>
      <w:rFonts w:ascii="Arial" w:hAnsi="Arial"/>
      <w:sz w:val="20"/>
    </w:rPr>
  </w:style>
  <w:style w:type="paragraph" w:styleId="Heading8">
    <w:name w:val="heading 8"/>
    <w:basedOn w:val="Normal"/>
    <w:next w:val="Normal"/>
    <w:qFormat/>
    <w:rsid w:val="000333A2"/>
    <w:pPr>
      <w:numPr>
        <w:ilvl w:val="7"/>
        <w:numId w:val="1"/>
      </w:numPr>
      <w:spacing w:before="240" w:after="60"/>
      <w:outlineLvl w:val="7"/>
    </w:pPr>
    <w:rPr>
      <w:rFonts w:ascii="Arial" w:hAnsi="Arial"/>
      <w:i/>
      <w:sz w:val="20"/>
    </w:rPr>
  </w:style>
  <w:style w:type="paragraph" w:styleId="Heading9">
    <w:name w:val="heading 9"/>
    <w:basedOn w:val="Normal"/>
    <w:next w:val="Normal"/>
    <w:qFormat/>
    <w:rsid w:val="000333A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812E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812EE"/>
  </w:style>
  <w:style w:type="paragraph" w:customStyle="1" w:styleId="00ClientCover">
    <w:name w:val="00ClientCover"/>
    <w:basedOn w:val="Normal"/>
    <w:rsid w:val="000812EE"/>
  </w:style>
  <w:style w:type="paragraph" w:customStyle="1" w:styleId="02Text">
    <w:name w:val="02Text"/>
    <w:basedOn w:val="Normal"/>
    <w:rsid w:val="000812EE"/>
  </w:style>
  <w:style w:type="paragraph" w:customStyle="1" w:styleId="BillBasic">
    <w:name w:val="BillBasic"/>
    <w:rsid w:val="000812EE"/>
    <w:pPr>
      <w:spacing w:before="140"/>
      <w:jc w:val="both"/>
    </w:pPr>
    <w:rPr>
      <w:sz w:val="24"/>
      <w:lang w:eastAsia="en-US"/>
    </w:rPr>
  </w:style>
  <w:style w:type="paragraph" w:styleId="Header">
    <w:name w:val="header"/>
    <w:basedOn w:val="Normal"/>
    <w:link w:val="HeaderChar"/>
    <w:rsid w:val="000812EE"/>
    <w:pPr>
      <w:tabs>
        <w:tab w:val="center" w:pos="4153"/>
        <w:tab w:val="right" w:pos="8306"/>
      </w:tabs>
    </w:pPr>
  </w:style>
  <w:style w:type="paragraph" w:styleId="Footer">
    <w:name w:val="footer"/>
    <w:basedOn w:val="Normal"/>
    <w:link w:val="FooterChar"/>
    <w:rsid w:val="000812EE"/>
    <w:pPr>
      <w:spacing w:before="120" w:line="240" w:lineRule="exact"/>
    </w:pPr>
    <w:rPr>
      <w:rFonts w:ascii="Arial" w:hAnsi="Arial"/>
      <w:sz w:val="18"/>
    </w:rPr>
  </w:style>
  <w:style w:type="paragraph" w:customStyle="1" w:styleId="Billname">
    <w:name w:val="Billname"/>
    <w:basedOn w:val="Normal"/>
    <w:rsid w:val="000812EE"/>
    <w:pPr>
      <w:spacing w:before="1220"/>
    </w:pPr>
    <w:rPr>
      <w:rFonts w:ascii="Arial" w:hAnsi="Arial"/>
      <w:b/>
      <w:sz w:val="40"/>
    </w:rPr>
  </w:style>
  <w:style w:type="paragraph" w:customStyle="1" w:styleId="BillBasicHeading">
    <w:name w:val="BillBasicHeading"/>
    <w:basedOn w:val="BillBasic"/>
    <w:rsid w:val="000812EE"/>
    <w:pPr>
      <w:keepNext/>
      <w:tabs>
        <w:tab w:val="left" w:pos="2600"/>
      </w:tabs>
      <w:jc w:val="left"/>
    </w:pPr>
    <w:rPr>
      <w:rFonts w:ascii="Arial" w:hAnsi="Arial"/>
      <w:b/>
    </w:rPr>
  </w:style>
  <w:style w:type="paragraph" w:customStyle="1" w:styleId="EnactingWordsRules">
    <w:name w:val="EnactingWordsRules"/>
    <w:basedOn w:val="EnactingWords"/>
    <w:rsid w:val="000812EE"/>
    <w:pPr>
      <w:spacing w:before="240"/>
    </w:pPr>
  </w:style>
  <w:style w:type="paragraph" w:customStyle="1" w:styleId="EnactingWords">
    <w:name w:val="EnactingWords"/>
    <w:basedOn w:val="BillBasic"/>
    <w:rsid w:val="000812EE"/>
    <w:pPr>
      <w:spacing w:before="120"/>
    </w:pPr>
  </w:style>
  <w:style w:type="paragraph" w:customStyle="1" w:styleId="BillCrest">
    <w:name w:val="Bill Crest"/>
    <w:basedOn w:val="Normal"/>
    <w:next w:val="Normal"/>
    <w:rsid w:val="000812EE"/>
    <w:pPr>
      <w:tabs>
        <w:tab w:val="center" w:pos="3160"/>
      </w:tabs>
      <w:spacing w:after="60"/>
    </w:pPr>
    <w:rPr>
      <w:sz w:val="216"/>
    </w:rPr>
  </w:style>
  <w:style w:type="paragraph" w:customStyle="1" w:styleId="Amain">
    <w:name w:val="A main"/>
    <w:basedOn w:val="BillBasic"/>
    <w:rsid w:val="000812EE"/>
    <w:pPr>
      <w:tabs>
        <w:tab w:val="right" w:pos="900"/>
        <w:tab w:val="left" w:pos="1100"/>
      </w:tabs>
      <w:ind w:left="1100" w:hanging="1100"/>
      <w:outlineLvl w:val="5"/>
    </w:pPr>
  </w:style>
  <w:style w:type="paragraph" w:customStyle="1" w:styleId="Amainreturn">
    <w:name w:val="A main return"/>
    <w:basedOn w:val="BillBasic"/>
    <w:link w:val="AmainreturnChar"/>
    <w:rsid w:val="000812EE"/>
    <w:pPr>
      <w:ind w:left="1100"/>
    </w:pPr>
  </w:style>
  <w:style w:type="paragraph" w:customStyle="1" w:styleId="Apara">
    <w:name w:val="A para"/>
    <w:basedOn w:val="BillBasic"/>
    <w:rsid w:val="000812EE"/>
    <w:pPr>
      <w:tabs>
        <w:tab w:val="right" w:pos="1400"/>
        <w:tab w:val="left" w:pos="1600"/>
      </w:tabs>
      <w:ind w:left="1600" w:hanging="1600"/>
      <w:outlineLvl w:val="6"/>
    </w:pPr>
  </w:style>
  <w:style w:type="paragraph" w:customStyle="1" w:styleId="Asubpara">
    <w:name w:val="A subpara"/>
    <w:basedOn w:val="BillBasic"/>
    <w:rsid w:val="000812EE"/>
    <w:pPr>
      <w:tabs>
        <w:tab w:val="right" w:pos="1900"/>
        <w:tab w:val="left" w:pos="2100"/>
      </w:tabs>
      <w:ind w:left="2100" w:hanging="2100"/>
      <w:outlineLvl w:val="7"/>
    </w:pPr>
  </w:style>
  <w:style w:type="paragraph" w:customStyle="1" w:styleId="Asubsubpara">
    <w:name w:val="A subsubpara"/>
    <w:basedOn w:val="BillBasic"/>
    <w:rsid w:val="000812EE"/>
    <w:pPr>
      <w:tabs>
        <w:tab w:val="right" w:pos="2400"/>
        <w:tab w:val="left" w:pos="2600"/>
      </w:tabs>
      <w:ind w:left="2600" w:hanging="2600"/>
      <w:outlineLvl w:val="8"/>
    </w:pPr>
  </w:style>
  <w:style w:type="paragraph" w:customStyle="1" w:styleId="aDef">
    <w:name w:val="aDef"/>
    <w:basedOn w:val="BillBasic"/>
    <w:link w:val="aDefChar"/>
    <w:rsid w:val="000812EE"/>
    <w:pPr>
      <w:ind w:left="1100"/>
    </w:pPr>
  </w:style>
  <w:style w:type="paragraph" w:customStyle="1" w:styleId="aExamHead">
    <w:name w:val="aExam Head"/>
    <w:basedOn w:val="BillBasicHeading"/>
    <w:next w:val="aExam"/>
    <w:rsid w:val="000812EE"/>
    <w:pPr>
      <w:tabs>
        <w:tab w:val="clear" w:pos="2600"/>
      </w:tabs>
      <w:ind w:left="1100"/>
    </w:pPr>
    <w:rPr>
      <w:sz w:val="18"/>
    </w:rPr>
  </w:style>
  <w:style w:type="paragraph" w:customStyle="1" w:styleId="aExam">
    <w:name w:val="aExam"/>
    <w:basedOn w:val="aNote"/>
    <w:rsid w:val="000812EE"/>
    <w:pPr>
      <w:spacing w:before="60"/>
      <w:ind w:left="1100" w:firstLine="0"/>
    </w:pPr>
  </w:style>
  <w:style w:type="paragraph" w:customStyle="1" w:styleId="aNote">
    <w:name w:val="aNote"/>
    <w:basedOn w:val="BillBasic"/>
    <w:link w:val="aNoteChar1"/>
    <w:rsid w:val="000812EE"/>
    <w:pPr>
      <w:ind w:left="1900" w:hanging="800"/>
    </w:pPr>
    <w:rPr>
      <w:sz w:val="20"/>
    </w:rPr>
  </w:style>
  <w:style w:type="paragraph" w:customStyle="1" w:styleId="HeaderEven">
    <w:name w:val="HeaderEven"/>
    <w:basedOn w:val="Normal"/>
    <w:rsid w:val="000812EE"/>
    <w:rPr>
      <w:rFonts w:ascii="Arial" w:hAnsi="Arial"/>
      <w:sz w:val="18"/>
    </w:rPr>
  </w:style>
  <w:style w:type="paragraph" w:customStyle="1" w:styleId="HeaderEven6">
    <w:name w:val="HeaderEven6"/>
    <w:basedOn w:val="HeaderEven"/>
    <w:rsid w:val="000812EE"/>
    <w:pPr>
      <w:spacing w:before="120" w:after="60"/>
    </w:pPr>
  </w:style>
  <w:style w:type="paragraph" w:customStyle="1" w:styleId="HeaderOdd6">
    <w:name w:val="HeaderOdd6"/>
    <w:basedOn w:val="HeaderEven6"/>
    <w:rsid w:val="000812EE"/>
    <w:pPr>
      <w:jc w:val="right"/>
    </w:pPr>
  </w:style>
  <w:style w:type="paragraph" w:customStyle="1" w:styleId="HeaderOdd">
    <w:name w:val="HeaderOdd"/>
    <w:basedOn w:val="HeaderEven"/>
    <w:rsid w:val="000812EE"/>
    <w:pPr>
      <w:jc w:val="right"/>
    </w:pPr>
  </w:style>
  <w:style w:type="paragraph" w:customStyle="1" w:styleId="BillNo">
    <w:name w:val="BillNo"/>
    <w:basedOn w:val="BillBasicHeading"/>
    <w:rsid w:val="000812EE"/>
    <w:pPr>
      <w:keepNext w:val="0"/>
      <w:spacing w:before="240"/>
      <w:jc w:val="both"/>
    </w:pPr>
  </w:style>
  <w:style w:type="paragraph" w:customStyle="1" w:styleId="N-TOCheading">
    <w:name w:val="N-TOCheading"/>
    <w:basedOn w:val="BillBasicHeading"/>
    <w:next w:val="N-9pt"/>
    <w:rsid w:val="000812EE"/>
    <w:pPr>
      <w:pBdr>
        <w:bottom w:val="single" w:sz="4" w:space="1" w:color="auto"/>
      </w:pBdr>
      <w:spacing w:before="800"/>
    </w:pPr>
    <w:rPr>
      <w:sz w:val="32"/>
    </w:rPr>
  </w:style>
  <w:style w:type="paragraph" w:customStyle="1" w:styleId="N-9pt">
    <w:name w:val="N-9pt"/>
    <w:basedOn w:val="BillBasic"/>
    <w:next w:val="BillBasic"/>
    <w:rsid w:val="000812EE"/>
    <w:pPr>
      <w:keepNext/>
      <w:tabs>
        <w:tab w:val="right" w:pos="7707"/>
      </w:tabs>
      <w:spacing w:before="120"/>
    </w:pPr>
    <w:rPr>
      <w:rFonts w:ascii="Arial" w:hAnsi="Arial"/>
      <w:sz w:val="18"/>
    </w:rPr>
  </w:style>
  <w:style w:type="paragraph" w:customStyle="1" w:styleId="N-14pt">
    <w:name w:val="N-14pt"/>
    <w:basedOn w:val="BillBasic"/>
    <w:rsid w:val="000812EE"/>
    <w:pPr>
      <w:spacing w:before="0"/>
    </w:pPr>
    <w:rPr>
      <w:b/>
      <w:sz w:val="28"/>
    </w:rPr>
  </w:style>
  <w:style w:type="paragraph" w:customStyle="1" w:styleId="N-16pt">
    <w:name w:val="N-16pt"/>
    <w:basedOn w:val="BillBasic"/>
    <w:rsid w:val="000812EE"/>
    <w:pPr>
      <w:spacing w:before="800"/>
    </w:pPr>
    <w:rPr>
      <w:b/>
      <w:sz w:val="32"/>
    </w:rPr>
  </w:style>
  <w:style w:type="paragraph" w:customStyle="1" w:styleId="N-line3">
    <w:name w:val="N-line3"/>
    <w:basedOn w:val="BillBasic"/>
    <w:next w:val="BillBasic"/>
    <w:rsid w:val="000812EE"/>
    <w:pPr>
      <w:pBdr>
        <w:bottom w:val="single" w:sz="12" w:space="1" w:color="auto"/>
      </w:pBdr>
      <w:spacing w:before="60"/>
    </w:pPr>
  </w:style>
  <w:style w:type="paragraph" w:customStyle="1" w:styleId="Comment">
    <w:name w:val="Comment"/>
    <w:basedOn w:val="BillBasic"/>
    <w:rsid w:val="000812EE"/>
    <w:pPr>
      <w:tabs>
        <w:tab w:val="left" w:pos="1800"/>
      </w:tabs>
      <w:ind w:left="1300"/>
      <w:jc w:val="left"/>
    </w:pPr>
    <w:rPr>
      <w:b/>
      <w:sz w:val="18"/>
    </w:rPr>
  </w:style>
  <w:style w:type="paragraph" w:customStyle="1" w:styleId="FooterInfo">
    <w:name w:val="FooterInfo"/>
    <w:basedOn w:val="Normal"/>
    <w:rsid w:val="000812EE"/>
    <w:pPr>
      <w:tabs>
        <w:tab w:val="right" w:pos="7707"/>
      </w:tabs>
    </w:pPr>
    <w:rPr>
      <w:rFonts w:ascii="Arial" w:hAnsi="Arial"/>
      <w:sz w:val="18"/>
    </w:rPr>
  </w:style>
  <w:style w:type="paragraph" w:customStyle="1" w:styleId="AH1Chapter">
    <w:name w:val="A H1 Chapter"/>
    <w:basedOn w:val="BillBasicHeading"/>
    <w:next w:val="AH2Part"/>
    <w:rsid w:val="000812EE"/>
    <w:pPr>
      <w:spacing w:before="320"/>
      <w:ind w:left="2600" w:hanging="2600"/>
      <w:outlineLvl w:val="0"/>
    </w:pPr>
    <w:rPr>
      <w:sz w:val="34"/>
    </w:rPr>
  </w:style>
  <w:style w:type="paragraph" w:customStyle="1" w:styleId="AH2Part">
    <w:name w:val="A H2 Part"/>
    <w:basedOn w:val="BillBasicHeading"/>
    <w:next w:val="AH3Div"/>
    <w:rsid w:val="000812EE"/>
    <w:pPr>
      <w:spacing w:before="380"/>
      <w:ind w:left="2600" w:hanging="2600"/>
      <w:outlineLvl w:val="1"/>
    </w:pPr>
    <w:rPr>
      <w:sz w:val="32"/>
    </w:rPr>
  </w:style>
  <w:style w:type="paragraph" w:customStyle="1" w:styleId="AH3Div">
    <w:name w:val="A H3 Div"/>
    <w:basedOn w:val="BillBasicHeading"/>
    <w:next w:val="AH5Sec"/>
    <w:rsid w:val="000812EE"/>
    <w:pPr>
      <w:spacing w:before="240"/>
      <w:ind w:left="2600" w:hanging="2600"/>
      <w:outlineLvl w:val="2"/>
    </w:pPr>
    <w:rPr>
      <w:sz w:val="28"/>
    </w:rPr>
  </w:style>
  <w:style w:type="paragraph" w:customStyle="1" w:styleId="AH5Sec">
    <w:name w:val="A H5 Sec"/>
    <w:basedOn w:val="BillBasicHeading"/>
    <w:next w:val="Amain"/>
    <w:rsid w:val="000812EE"/>
    <w:pPr>
      <w:tabs>
        <w:tab w:val="clear" w:pos="2600"/>
        <w:tab w:val="left" w:pos="1100"/>
      </w:tabs>
      <w:spacing w:before="240"/>
      <w:ind w:left="1100" w:hanging="1100"/>
      <w:outlineLvl w:val="4"/>
    </w:pPr>
  </w:style>
  <w:style w:type="paragraph" w:customStyle="1" w:styleId="direction">
    <w:name w:val="direction"/>
    <w:basedOn w:val="BillBasic"/>
    <w:next w:val="Amainreturn"/>
    <w:rsid w:val="000812EE"/>
    <w:pPr>
      <w:ind w:left="1100"/>
    </w:pPr>
    <w:rPr>
      <w:i/>
    </w:rPr>
  </w:style>
  <w:style w:type="paragraph" w:customStyle="1" w:styleId="AH4SubDiv">
    <w:name w:val="A H4 SubDiv"/>
    <w:basedOn w:val="BillBasicHeading"/>
    <w:next w:val="AH5Sec"/>
    <w:rsid w:val="000812EE"/>
    <w:pPr>
      <w:spacing w:before="240"/>
      <w:ind w:left="2600" w:hanging="2600"/>
      <w:outlineLvl w:val="3"/>
    </w:pPr>
    <w:rPr>
      <w:sz w:val="26"/>
    </w:rPr>
  </w:style>
  <w:style w:type="paragraph" w:customStyle="1" w:styleId="Sched-heading">
    <w:name w:val="Sched-heading"/>
    <w:basedOn w:val="BillBasicHeading"/>
    <w:next w:val="ref"/>
    <w:rsid w:val="000812EE"/>
    <w:pPr>
      <w:spacing w:before="380"/>
      <w:ind w:left="2600" w:hanging="2600"/>
      <w:outlineLvl w:val="0"/>
    </w:pPr>
    <w:rPr>
      <w:sz w:val="34"/>
    </w:rPr>
  </w:style>
  <w:style w:type="paragraph" w:customStyle="1" w:styleId="ref">
    <w:name w:val="ref"/>
    <w:basedOn w:val="BillBasic"/>
    <w:next w:val="Normal"/>
    <w:rsid w:val="000812EE"/>
    <w:pPr>
      <w:spacing w:before="60"/>
    </w:pPr>
    <w:rPr>
      <w:sz w:val="18"/>
    </w:rPr>
  </w:style>
  <w:style w:type="paragraph" w:customStyle="1" w:styleId="Sched-Part">
    <w:name w:val="Sched-Part"/>
    <w:basedOn w:val="BillBasicHeading"/>
    <w:next w:val="Sched-Form"/>
    <w:rsid w:val="000812EE"/>
    <w:pPr>
      <w:spacing w:before="380"/>
      <w:ind w:left="2600" w:hanging="2600"/>
      <w:outlineLvl w:val="1"/>
    </w:pPr>
    <w:rPr>
      <w:sz w:val="32"/>
    </w:rPr>
  </w:style>
  <w:style w:type="paragraph" w:customStyle="1" w:styleId="ShadedSchClause">
    <w:name w:val="Shaded Sch Clause"/>
    <w:basedOn w:val="Schclauseheading"/>
    <w:next w:val="direction"/>
    <w:rsid w:val="000812EE"/>
    <w:pPr>
      <w:shd w:val="pct25" w:color="auto" w:fill="auto"/>
      <w:outlineLvl w:val="3"/>
    </w:pPr>
  </w:style>
  <w:style w:type="paragraph" w:customStyle="1" w:styleId="Sched-Form">
    <w:name w:val="Sched-Form"/>
    <w:basedOn w:val="BillBasicHeading"/>
    <w:next w:val="Schclauseheading"/>
    <w:rsid w:val="000812E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0812E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812EE"/>
    <w:pPr>
      <w:spacing w:before="320"/>
      <w:ind w:left="2600" w:hanging="2600"/>
      <w:jc w:val="both"/>
      <w:outlineLvl w:val="0"/>
    </w:pPr>
    <w:rPr>
      <w:sz w:val="34"/>
    </w:rPr>
  </w:style>
  <w:style w:type="paragraph" w:styleId="TOC7">
    <w:name w:val="toc 7"/>
    <w:basedOn w:val="TOC2"/>
    <w:next w:val="Normal"/>
    <w:autoRedefine/>
    <w:uiPriority w:val="39"/>
    <w:rsid w:val="000812EE"/>
    <w:pPr>
      <w:keepNext w:val="0"/>
      <w:spacing w:before="120"/>
    </w:pPr>
    <w:rPr>
      <w:sz w:val="20"/>
    </w:rPr>
  </w:style>
  <w:style w:type="paragraph" w:styleId="TOC2">
    <w:name w:val="toc 2"/>
    <w:basedOn w:val="Normal"/>
    <w:next w:val="Normal"/>
    <w:autoRedefine/>
    <w:uiPriority w:val="39"/>
    <w:rsid w:val="000812E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812EE"/>
    <w:pPr>
      <w:keepNext/>
      <w:tabs>
        <w:tab w:val="left" w:pos="400"/>
      </w:tabs>
      <w:spacing w:before="0"/>
      <w:jc w:val="left"/>
    </w:pPr>
    <w:rPr>
      <w:rFonts w:ascii="Arial" w:hAnsi="Arial"/>
      <w:b/>
      <w:sz w:val="28"/>
    </w:rPr>
  </w:style>
  <w:style w:type="paragraph" w:customStyle="1" w:styleId="EndNote2">
    <w:name w:val="EndNote2"/>
    <w:basedOn w:val="BillBasic"/>
    <w:rsid w:val="000333A2"/>
    <w:pPr>
      <w:keepNext/>
      <w:tabs>
        <w:tab w:val="left" w:pos="240"/>
      </w:tabs>
      <w:spacing w:before="160" w:after="80"/>
      <w:jc w:val="left"/>
    </w:pPr>
    <w:rPr>
      <w:b/>
      <w:sz w:val="18"/>
    </w:rPr>
  </w:style>
  <w:style w:type="paragraph" w:customStyle="1" w:styleId="IH1Chap">
    <w:name w:val="I H1 Chap"/>
    <w:basedOn w:val="BillBasicHeading"/>
    <w:next w:val="Normal"/>
    <w:rsid w:val="000812EE"/>
    <w:pPr>
      <w:spacing w:before="320"/>
      <w:ind w:left="2600" w:hanging="2600"/>
    </w:pPr>
    <w:rPr>
      <w:sz w:val="34"/>
    </w:rPr>
  </w:style>
  <w:style w:type="paragraph" w:customStyle="1" w:styleId="IH2Part">
    <w:name w:val="I H2 Part"/>
    <w:basedOn w:val="BillBasicHeading"/>
    <w:next w:val="Normal"/>
    <w:rsid w:val="000812EE"/>
    <w:pPr>
      <w:spacing w:before="380"/>
      <w:ind w:left="2600" w:hanging="2600"/>
    </w:pPr>
    <w:rPr>
      <w:sz w:val="32"/>
    </w:rPr>
  </w:style>
  <w:style w:type="paragraph" w:customStyle="1" w:styleId="IH3Div">
    <w:name w:val="I H3 Div"/>
    <w:basedOn w:val="BillBasicHeading"/>
    <w:next w:val="Normal"/>
    <w:rsid w:val="000812EE"/>
    <w:pPr>
      <w:spacing w:before="240"/>
      <w:ind w:left="2600" w:hanging="2600"/>
    </w:pPr>
    <w:rPr>
      <w:sz w:val="28"/>
    </w:rPr>
  </w:style>
  <w:style w:type="paragraph" w:customStyle="1" w:styleId="IH5Sec">
    <w:name w:val="I H5 Sec"/>
    <w:basedOn w:val="BillBasicHeading"/>
    <w:next w:val="Normal"/>
    <w:rsid w:val="000812EE"/>
    <w:pPr>
      <w:tabs>
        <w:tab w:val="clear" w:pos="2600"/>
        <w:tab w:val="left" w:pos="1100"/>
      </w:tabs>
      <w:spacing w:before="240"/>
      <w:ind w:left="1100" w:hanging="1100"/>
    </w:pPr>
  </w:style>
  <w:style w:type="paragraph" w:customStyle="1" w:styleId="IH4SubDiv">
    <w:name w:val="I H4 SubDiv"/>
    <w:basedOn w:val="BillBasicHeading"/>
    <w:next w:val="Normal"/>
    <w:rsid w:val="000812EE"/>
    <w:pPr>
      <w:spacing w:before="240"/>
      <w:ind w:left="2600" w:hanging="2600"/>
      <w:jc w:val="both"/>
    </w:pPr>
    <w:rPr>
      <w:sz w:val="26"/>
    </w:rPr>
  </w:style>
  <w:style w:type="character" w:styleId="LineNumber">
    <w:name w:val="line number"/>
    <w:basedOn w:val="DefaultParagraphFont"/>
    <w:rsid w:val="000812EE"/>
    <w:rPr>
      <w:rFonts w:ascii="Arial" w:hAnsi="Arial"/>
      <w:sz w:val="16"/>
    </w:rPr>
  </w:style>
  <w:style w:type="paragraph" w:customStyle="1" w:styleId="PageBreak">
    <w:name w:val="PageBreak"/>
    <w:basedOn w:val="Normal"/>
    <w:rsid w:val="000812EE"/>
    <w:rPr>
      <w:sz w:val="4"/>
    </w:rPr>
  </w:style>
  <w:style w:type="paragraph" w:customStyle="1" w:styleId="04Dictionary">
    <w:name w:val="04Dictionary"/>
    <w:basedOn w:val="Normal"/>
    <w:rsid w:val="000812EE"/>
  </w:style>
  <w:style w:type="paragraph" w:customStyle="1" w:styleId="N-line1">
    <w:name w:val="N-line1"/>
    <w:basedOn w:val="BillBasic"/>
    <w:rsid w:val="000812EE"/>
    <w:pPr>
      <w:pBdr>
        <w:bottom w:val="single" w:sz="4" w:space="0" w:color="auto"/>
      </w:pBdr>
      <w:spacing w:before="100"/>
      <w:ind w:left="2980" w:right="3020"/>
      <w:jc w:val="center"/>
    </w:pPr>
  </w:style>
  <w:style w:type="paragraph" w:customStyle="1" w:styleId="N-line2">
    <w:name w:val="N-line2"/>
    <w:basedOn w:val="Normal"/>
    <w:rsid w:val="000812EE"/>
    <w:pPr>
      <w:pBdr>
        <w:bottom w:val="single" w:sz="8" w:space="0" w:color="auto"/>
      </w:pBdr>
    </w:pPr>
  </w:style>
  <w:style w:type="paragraph" w:customStyle="1" w:styleId="EndNote">
    <w:name w:val="EndNote"/>
    <w:basedOn w:val="BillBasicHeading"/>
    <w:rsid w:val="000812E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812EE"/>
    <w:pPr>
      <w:tabs>
        <w:tab w:val="left" w:pos="700"/>
      </w:tabs>
      <w:spacing w:before="160"/>
      <w:ind w:left="700" w:hanging="700"/>
    </w:pPr>
    <w:rPr>
      <w:rFonts w:ascii="Arial (W1)" w:hAnsi="Arial (W1)"/>
    </w:rPr>
  </w:style>
  <w:style w:type="paragraph" w:customStyle="1" w:styleId="PenaltyHeading">
    <w:name w:val="PenaltyHeading"/>
    <w:basedOn w:val="Normal"/>
    <w:rsid w:val="000812EE"/>
    <w:pPr>
      <w:tabs>
        <w:tab w:val="left" w:pos="1100"/>
      </w:tabs>
      <w:spacing w:before="120"/>
      <w:ind w:left="1100" w:hanging="1100"/>
    </w:pPr>
    <w:rPr>
      <w:rFonts w:ascii="Arial" w:hAnsi="Arial"/>
      <w:b/>
      <w:sz w:val="20"/>
    </w:rPr>
  </w:style>
  <w:style w:type="paragraph" w:customStyle="1" w:styleId="05EndNote">
    <w:name w:val="05EndNote"/>
    <w:basedOn w:val="Normal"/>
    <w:rsid w:val="000812EE"/>
  </w:style>
  <w:style w:type="paragraph" w:customStyle="1" w:styleId="03Schedule">
    <w:name w:val="03Schedule"/>
    <w:basedOn w:val="Normal"/>
    <w:rsid w:val="000812EE"/>
  </w:style>
  <w:style w:type="paragraph" w:customStyle="1" w:styleId="ISched-heading">
    <w:name w:val="I Sched-heading"/>
    <w:basedOn w:val="BillBasicHeading"/>
    <w:next w:val="Normal"/>
    <w:rsid w:val="000812EE"/>
    <w:pPr>
      <w:spacing w:before="320"/>
      <w:ind w:left="2600" w:hanging="2600"/>
    </w:pPr>
    <w:rPr>
      <w:sz w:val="34"/>
    </w:rPr>
  </w:style>
  <w:style w:type="paragraph" w:customStyle="1" w:styleId="ISched-Part">
    <w:name w:val="I Sched-Part"/>
    <w:basedOn w:val="BillBasicHeading"/>
    <w:rsid w:val="000812EE"/>
    <w:pPr>
      <w:spacing w:before="380"/>
      <w:ind w:left="2600" w:hanging="2600"/>
    </w:pPr>
    <w:rPr>
      <w:sz w:val="32"/>
    </w:rPr>
  </w:style>
  <w:style w:type="paragraph" w:customStyle="1" w:styleId="ISched-form">
    <w:name w:val="I Sched-form"/>
    <w:basedOn w:val="BillBasicHeading"/>
    <w:rsid w:val="000812EE"/>
    <w:pPr>
      <w:tabs>
        <w:tab w:val="right" w:pos="7200"/>
      </w:tabs>
      <w:spacing w:before="240"/>
      <w:ind w:left="2600" w:hanging="2600"/>
    </w:pPr>
    <w:rPr>
      <w:sz w:val="28"/>
    </w:rPr>
  </w:style>
  <w:style w:type="paragraph" w:customStyle="1" w:styleId="ISchclauseheading">
    <w:name w:val="I Sch clause heading"/>
    <w:basedOn w:val="BillBasic"/>
    <w:rsid w:val="000812EE"/>
    <w:pPr>
      <w:keepNext/>
      <w:tabs>
        <w:tab w:val="left" w:pos="1100"/>
      </w:tabs>
      <w:spacing w:before="240"/>
      <w:ind w:left="1100" w:hanging="1100"/>
      <w:jc w:val="left"/>
    </w:pPr>
    <w:rPr>
      <w:rFonts w:ascii="Arial" w:hAnsi="Arial"/>
      <w:b/>
    </w:rPr>
  </w:style>
  <w:style w:type="paragraph" w:customStyle="1" w:styleId="IMain">
    <w:name w:val="I Main"/>
    <w:basedOn w:val="Amain"/>
    <w:rsid w:val="000812EE"/>
  </w:style>
  <w:style w:type="paragraph" w:customStyle="1" w:styleId="Ipara">
    <w:name w:val="I para"/>
    <w:basedOn w:val="Apara"/>
    <w:rsid w:val="000812EE"/>
    <w:pPr>
      <w:outlineLvl w:val="9"/>
    </w:pPr>
  </w:style>
  <w:style w:type="paragraph" w:customStyle="1" w:styleId="Isubpara">
    <w:name w:val="I subpara"/>
    <w:basedOn w:val="Asubpara"/>
    <w:rsid w:val="000812E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812EE"/>
    <w:pPr>
      <w:tabs>
        <w:tab w:val="clear" w:pos="2400"/>
        <w:tab w:val="clear" w:pos="2600"/>
        <w:tab w:val="right" w:pos="2460"/>
        <w:tab w:val="left" w:pos="2660"/>
      </w:tabs>
      <w:ind w:left="2660" w:hanging="2660"/>
    </w:pPr>
  </w:style>
  <w:style w:type="character" w:customStyle="1" w:styleId="CharSectNo">
    <w:name w:val="CharSectNo"/>
    <w:basedOn w:val="DefaultParagraphFont"/>
    <w:rsid w:val="000812EE"/>
  </w:style>
  <w:style w:type="character" w:customStyle="1" w:styleId="CharDivNo">
    <w:name w:val="CharDivNo"/>
    <w:basedOn w:val="DefaultParagraphFont"/>
    <w:rsid w:val="000812EE"/>
  </w:style>
  <w:style w:type="character" w:customStyle="1" w:styleId="CharDivText">
    <w:name w:val="CharDivText"/>
    <w:basedOn w:val="DefaultParagraphFont"/>
    <w:rsid w:val="000812EE"/>
  </w:style>
  <w:style w:type="character" w:customStyle="1" w:styleId="CharPartNo">
    <w:name w:val="CharPartNo"/>
    <w:basedOn w:val="DefaultParagraphFont"/>
    <w:rsid w:val="000812EE"/>
  </w:style>
  <w:style w:type="paragraph" w:customStyle="1" w:styleId="Placeholder">
    <w:name w:val="Placeholder"/>
    <w:basedOn w:val="Normal"/>
    <w:rsid w:val="000812EE"/>
    <w:rPr>
      <w:sz w:val="10"/>
    </w:rPr>
  </w:style>
  <w:style w:type="paragraph" w:styleId="PlainText">
    <w:name w:val="Plain Text"/>
    <w:basedOn w:val="Normal"/>
    <w:rsid w:val="000812EE"/>
    <w:rPr>
      <w:rFonts w:ascii="Courier New" w:hAnsi="Courier New"/>
      <w:sz w:val="20"/>
    </w:rPr>
  </w:style>
  <w:style w:type="character" w:customStyle="1" w:styleId="CharChapNo">
    <w:name w:val="CharChapNo"/>
    <w:basedOn w:val="DefaultParagraphFont"/>
    <w:rsid w:val="000812EE"/>
  </w:style>
  <w:style w:type="character" w:customStyle="1" w:styleId="CharChapText">
    <w:name w:val="CharChapText"/>
    <w:basedOn w:val="DefaultParagraphFont"/>
    <w:rsid w:val="000812EE"/>
  </w:style>
  <w:style w:type="character" w:customStyle="1" w:styleId="CharPartText">
    <w:name w:val="CharPartText"/>
    <w:basedOn w:val="DefaultParagraphFont"/>
    <w:rsid w:val="000812EE"/>
  </w:style>
  <w:style w:type="paragraph" w:styleId="TOC1">
    <w:name w:val="toc 1"/>
    <w:basedOn w:val="Normal"/>
    <w:next w:val="Normal"/>
    <w:autoRedefine/>
    <w:uiPriority w:val="39"/>
    <w:rsid w:val="000812E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0812E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812E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812E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812EE"/>
  </w:style>
  <w:style w:type="paragraph" w:styleId="Title">
    <w:name w:val="Title"/>
    <w:basedOn w:val="Normal"/>
    <w:qFormat/>
    <w:rsid w:val="000333A2"/>
    <w:pPr>
      <w:spacing w:before="240" w:after="60"/>
      <w:jc w:val="center"/>
      <w:outlineLvl w:val="0"/>
    </w:pPr>
    <w:rPr>
      <w:rFonts w:ascii="Arial" w:hAnsi="Arial"/>
      <w:b/>
      <w:kern w:val="28"/>
      <w:sz w:val="32"/>
    </w:rPr>
  </w:style>
  <w:style w:type="paragraph" w:styleId="Signature">
    <w:name w:val="Signature"/>
    <w:basedOn w:val="Normal"/>
    <w:rsid w:val="000812EE"/>
    <w:pPr>
      <w:ind w:left="4252"/>
    </w:pPr>
  </w:style>
  <w:style w:type="paragraph" w:customStyle="1" w:styleId="ActNo">
    <w:name w:val="ActNo"/>
    <w:basedOn w:val="BillBasicHeading"/>
    <w:rsid w:val="000812EE"/>
    <w:pPr>
      <w:keepNext w:val="0"/>
      <w:tabs>
        <w:tab w:val="clear" w:pos="2600"/>
      </w:tabs>
      <w:spacing w:before="220"/>
    </w:pPr>
  </w:style>
  <w:style w:type="paragraph" w:customStyle="1" w:styleId="aParaNote">
    <w:name w:val="aParaNote"/>
    <w:basedOn w:val="BillBasic"/>
    <w:rsid w:val="000812EE"/>
    <w:pPr>
      <w:ind w:left="2840" w:hanging="1240"/>
    </w:pPr>
    <w:rPr>
      <w:sz w:val="20"/>
    </w:rPr>
  </w:style>
  <w:style w:type="paragraph" w:customStyle="1" w:styleId="aExamNum">
    <w:name w:val="aExamNum"/>
    <w:basedOn w:val="aExam"/>
    <w:rsid w:val="000812EE"/>
    <w:pPr>
      <w:ind w:left="1500" w:hanging="400"/>
    </w:pPr>
  </w:style>
  <w:style w:type="paragraph" w:customStyle="1" w:styleId="LongTitle">
    <w:name w:val="LongTitle"/>
    <w:basedOn w:val="BillBasic"/>
    <w:rsid w:val="000812EE"/>
    <w:pPr>
      <w:spacing w:before="300"/>
    </w:pPr>
  </w:style>
  <w:style w:type="paragraph" w:customStyle="1" w:styleId="Minister">
    <w:name w:val="Minister"/>
    <w:basedOn w:val="BillBasic"/>
    <w:rsid w:val="000812EE"/>
    <w:pPr>
      <w:spacing w:before="640"/>
      <w:jc w:val="right"/>
    </w:pPr>
    <w:rPr>
      <w:caps/>
    </w:rPr>
  </w:style>
  <w:style w:type="paragraph" w:customStyle="1" w:styleId="DateLine">
    <w:name w:val="DateLine"/>
    <w:basedOn w:val="BillBasic"/>
    <w:rsid w:val="000812EE"/>
    <w:pPr>
      <w:tabs>
        <w:tab w:val="left" w:pos="4320"/>
      </w:tabs>
    </w:pPr>
  </w:style>
  <w:style w:type="paragraph" w:customStyle="1" w:styleId="madeunder">
    <w:name w:val="made under"/>
    <w:basedOn w:val="BillBasic"/>
    <w:rsid w:val="000812EE"/>
    <w:pPr>
      <w:spacing w:before="240"/>
    </w:pPr>
  </w:style>
  <w:style w:type="paragraph" w:customStyle="1" w:styleId="EndNoteSubHeading">
    <w:name w:val="EndNoteSubHeading"/>
    <w:basedOn w:val="Normal"/>
    <w:next w:val="EndNoteText"/>
    <w:rsid w:val="000333A2"/>
    <w:pPr>
      <w:keepNext/>
      <w:tabs>
        <w:tab w:val="left" w:pos="700"/>
      </w:tabs>
      <w:spacing w:before="120"/>
      <w:ind w:left="700" w:hanging="700"/>
    </w:pPr>
    <w:rPr>
      <w:rFonts w:ascii="Arial" w:hAnsi="Arial"/>
      <w:b/>
      <w:sz w:val="20"/>
    </w:rPr>
  </w:style>
  <w:style w:type="paragraph" w:customStyle="1" w:styleId="EndNoteText">
    <w:name w:val="EndNoteText"/>
    <w:basedOn w:val="BillBasic"/>
    <w:rsid w:val="000812EE"/>
    <w:pPr>
      <w:tabs>
        <w:tab w:val="left" w:pos="700"/>
        <w:tab w:val="right" w:pos="6160"/>
      </w:tabs>
      <w:spacing w:before="80"/>
      <w:ind w:left="700" w:hanging="700"/>
    </w:pPr>
    <w:rPr>
      <w:sz w:val="20"/>
    </w:rPr>
  </w:style>
  <w:style w:type="paragraph" w:customStyle="1" w:styleId="BillBasicItalics">
    <w:name w:val="BillBasicItalics"/>
    <w:basedOn w:val="BillBasic"/>
    <w:rsid w:val="000812EE"/>
    <w:rPr>
      <w:i/>
    </w:rPr>
  </w:style>
  <w:style w:type="paragraph" w:customStyle="1" w:styleId="00SigningPage">
    <w:name w:val="00SigningPage"/>
    <w:basedOn w:val="Normal"/>
    <w:rsid w:val="000812EE"/>
  </w:style>
  <w:style w:type="paragraph" w:customStyle="1" w:styleId="Aparareturn">
    <w:name w:val="A para return"/>
    <w:basedOn w:val="BillBasic"/>
    <w:rsid w:val="000812EE"/>
    <w:pPr>
      <w:ind w:left="1600"/>
    </w:pPr>
  </w:style>
  <w:style w:type="paragraph" w:customStyle="1" w:styleId="Asubparareturn">
    <w:name w:val="A subpara return"/>
    <w:basedOn w:val="BillBasic"/>
    <w:rsid w:val="000812EE"/>
    <w:pPr>
      <w:ind w:left="2100"/>
    </w:pPr>
  </w:style>
  <w:style w:type="paragraph" w:customStyle="1" w:styleId="CommentNum">
    <w:name w:val="CommentNum"/>
    <w:basedOn w:val="Comment"/>
    <w:rsid w:val="000812EE"/>
    <w:pPr>
      <w:ind w:left="1800" w:hanging="1800"/>
    </w:pPr>
  </w:style>
  <w:style w:type="paragraph" w:styleId="TOC8">
    <w:name w:val="toc 8"/>
    <w:basedOn w:val="TOC3"/>
    <w:next w:val="Normal"/>
    <w:autoRedefine/>
    <w:uiPriority w:val="39"/>
    <w:rsid w:val="000812EE"/>
    <w:pPr>
      <w:keepNext w:val="0"/>
      <w:spacing w:before="120"/>
    </w:pPr>
  </w:style>
  <w:style w:type="paragraph" w:customStyle="1" w:styleId="Judges">
    <w:name w:val="Judges"/>
    <w:basedOn w:val="Minister"/>
    <w:rsid w:val="000812EE"/>
    <w:pPr>
      <w:spacing w:before="180"/>
    </w:pPr>
  </w:style>
  <w:style w:type="paragraph" w:customStyle="1" w:styleId="BillFor">
    <w:name w:val="BillFor"/>
    <w:basedOn w:val="BillBasicHeading"/>
    <w:rsid w:val="000812EE"/>
    <w:pPr>
      <w:keepNext w:val="0"/>
      <w:spacing w:before="320"/>
      <w:jc w:val="both"/>
    </w:pPr>
    <w:rPr>
      <w:sz w:val="28"/>
    </w:rPr>
  </w:style>
  <w:style w:type="paragraph" w:customStyle="1" w:styleId="draft">
    <w:name w:val="draft"/>
    <w:basedOn w:val="Normal"/>
    <w:rsid w:val="000812E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812EE"/>
    <w:pPr>
      <w:spacing w:line="260" w:lineRule="atLeast"/>
      <w:jc w:val="center"/>
    </w:pPr>
  </w:style>
  <w:style w:type="paragraph" w:customStyle="1" w:styleId="Amainbullet">
    <w:name w:val="A main bullet"/>
    <w:basedOn w:val="BillBasic"/>
    <w:rsid w:val="000812EE"/>
    <w:pPr>
      <w:spacing w:before="60"/>
      <w:ind w:left="1500" w:hanging="400"/>
    </w:pPr>
  </w:style>
  <w:style w:type="paragraph" w:customStyle="1" w:styleId="Aparabullet">
    <w:name w:val="A para bullet"/>
    <w:basedOn w:val="BillBasic"/>
    <w:rsid w:val="000812EE"/>
    <w:pPr>
      <w:spacing w:before="60"/>
      <w:ind w:left="2000" w:hanging="400"/>
    </w:pPr>
  </w:style>
  <w:style w:type="paragraph" w:customStyle="1" w:styleId="Asubparabullet">
    <w:name w:val="A subpara bullet"/>
    <w:basedOn w:val="BillBasic"/>
    <w:rsid w:val="000812EE"/>
    <w:pPr>
      <w:spacing w:before="60"/>
      <w:ind w:left="2540" w:hanging="400"/>
    </w:pPr>
  </w:style>
  <w:style w:type="paragraph" w:customStyle="1" w:styleId="aDefpara">
    <w:name w:val="aDef para"/>
    <w:basedOn w:val="Apara"/>
    <w:rsid w:val="000812EE"/>
  </w:style>
  <w:style w:type="paragraph" w:customStyle="1" w:styleId="aDefsubpara">
    <w:name w:val="aDef subpara"/>
    <w:basedOn w:val="Asubpara"/>
    <w:rsid w:val="000812EE"/>
  </w:style>
  <w:style w:type="paragraph" w:customStyle="1" w:styleId="Idefpara">
    <w:name w:val="I def para"/>
    <w:basedOn w:val="Ipara"/>
    <w:rsid w:val="000812EE"/>
  </w:style>
  <w:style w:type="paragraph" w:customStyle="1" w:styleId="Idefsubpara">
    <w:name w:val="I def subpara"/>
    <w:basedOn w:val="Isubpara"/>
    <w:rsid w:val="000812EE"/>
  </w:style>
  <w:style w:type="paragraph" w:customStyle="1" w:styleId="Notified">
    <w:name w:val="Notified"/>
    <w:basedOn w:val="BillBasic"/>
    <w:rsid w:val="000812EE"/>
    <w:pPr>
      <w:spacing w:before="360"/>
      <w:jc w:val="right"/>
    </w:pPr>
    <w:rPr>
      <w:i/>
    </w:rPr>
  </w:style>
  <w:style w:type="paragraph" w:customStyle="1" w:styleId="03ScheduleLandscape">
    <w:name w:val="03ScheduleLandscape"/>
    <w:basedOn w:val="Normal"/>
    <w:rsid w:val="000812EE"/>
  </w:style>
  <w:style w:type="paragraph" w:customStyle="1" w:styleId="IDict-Heading">
    <w:name w:val="I Dict-Heading"/>
    <w:basedOn w:val="BillBasicHeading"/>
    <w:rsid w:val="000812EE"/>
    <w:pPr>
      <w:spacing w:before="320"/>
      <w:ind w:left="2600" w:hanging="2600"/>
      <w:jc w:val="both"/>
    </w:pPr>
    <w:rPr>
      <w:sz w:val="34"/>
    </w:rPr>
  </w:style>
  <w:style w:type="paragraph" w:customStyle="1" w:styleId="02TextLandscape">
    <w:name w:val="02TextLandscape"/>
    <w:basedOn w:val="Normal"/>
    <w:rsid w:val="000812EE"/>
  </w:style>
  <w:style w:type="paragraph" w:styleId="Salutation">
    <w:name w:val="Salutation"/>
    <w:basedOn w:val="Normal"/>
    <w:next w:val="Normal"/>
    <w:rsid w:val="000333A2"/>
  </w:style>
  <w:style w:type="paragraph" w:customStyle="1" w:styleId="aNoteBullet">
    <w:name w:val="aNoteBullet"/>
    <w:basedOn w:val="aNote"/>
    <w:rsid w:val="000812EE"/>
    <w:pPr>
      <w:tabs>
        <w:tab w:val="left" w:pos="2200"/>
      </w:tabs>
      <w:spacing w:before="60"/>
      <w:ind w:left="2600" w:hanging="700"/>
    </w:pPr>
  </w:style>
  <w:style w:type="paragraph" w:customStyle="1" w:styleId="aNotess">
    <w:name w:val="aNotess"/>
    <w:basedOn w:val="BillBasic"/>
    <w:rsid w:val="000333A2"/>
    <w:pPr>
      <w:ind w:left="1900" w:hanging="800"/>
    </w:pPr>
    <w:rPr>
      <w:sz w:val="20"/>
    </w:rPr>
  </w:style>
  <w:style w:type="paragraph" w:customStyle="1" w:styleId="aParaNoteBullet">
    <w:name w:val="aParaNoteBullet"/>
    <w:basedOn w:val="aParaNote"/>
    <w:rsid w:val="000812EE"/>
    <w:pPr>
      <w:tabs>
        <w:tab w:val="left" w:pos="2700"/>
      </w:tabs>
      <w:spacing w:before="60"/>
      <w:ind w:left="3100" w:hanging="700"/>
    </w:pPr>
  </w:style>
  <w:style w:type="paragraph" w:customStyle="1" w:styleId="aNotepar">
    <w:name w:val="aNotepar"/>
    <w:basedOn w:val="BillBasic"/>
    <w:next w:val="Normal"/>
    <w:rsid w:val="000812EE"/>
    <w:pPr>
      <w:ind w:left="2400" w:hanging="800"/>
    </w:pPr>
    <w:rPr>
      <w:sz w:val="20"/>
    </w:rPr>
  </w:style>
  <w:style w:type="paragraph" w:customStyle="1" w:styleId="aNoteTextpar">
    <w:name w:val="aNoteTextpar"/>
    <w:basedOn w:val="aNotepar"/>
    <w:rsid w:val="000812EE"/>
    <w:pPr>
      <w:spacing w:before="60"/>
      <w:ind w:firstLine="0"/>
    </w:pPr>
  </w:style>
  <w:style w:type="paragraph" w:customStyle="1" w:styleId="MinisterWord">
    <w:name w:val="MinisterWord"/>
    <w:basedOn w:val="Normal"/>
    <w:rsid w:val="000812EE"/>
    <w:pPr>
      <w:spacing w:before="60"/>
      <w:jc w:val="right"/>
    </w:pPr>
  </w:style>
  <w:style w:type="paragraph" w:customStyle="1" w:styleId="aExamPara">
    <w:name w:val="aExamPara"/>
    <w:basedOn w:val="aExam"/>
    <w:rsid w:val="000812EE"/>
    <w:pPr>
      <w:tabs>
        <w:tab w:val="right" w:pos="1720"/>
        <w:tab w:val="left" w:pos="2000"/>
        <w:tab w:val="left" w:pos="2300"/>
      </w:tabs>
      <w:ind w:left="2400" w:hanging="1300"/>
    </w:pPr>
  </w:style>
  <w:style w:type="paragraph" w:customStyle="1" w:styleId="aExamNumText">
    <w:name w:val="aExamNumText"/>
    <w:basedOn w:val="aExam"/>
    <w:rsid w:val="000812EE"/>
    <w:pPr>
      <w:ind w:left="1500"/>
    </w:pPr>
  </w:style>
  <w:style w:type="paragraph" w:customStyle="1" w:styleId="aExamBullet">
    <w:name w:val="aExamBullet"/>
    <w:basedOn w:val="aExam"/>
    <w:rsid w:val="000812EE"/>
    <w:pPr>
      <w:tabs>
        <w:tab w:val="left" w:pos="1500"/>
        <w:tab w:val="left" w:pos="2300"/>
      </w:tabs>
      <w:ind w:left="1900" w:hanging="800"/>
    </w:pPr>
  </w:style>
  <w:style w:type="paragraph" w:customStyle="1" w:styleId="aNotePara">
    <w:name w:val="aNotePara"/>
    <w:basedOn w:val="aNote"/>
    <w:rsid w:val="000812EE"/>
    <w:pPr>
      <w:tabs>
        <w:tab w:val="right" w:pos="2140"/>
        <w:tab w:val="left" w:pos="2400"/>
      </w:tabs>
      <w:spacing w:before="60"/>
      <w:ind w:left="2400" w:hanging="1300"/>
    </w:pPr>
  </w:style>
  <w:style w:type="paragraph" w:customStyle="1" w:styleId="aExplanHeading">
    <w:name w:val="aExplanHeading"/>
    <w:basedOn w:val="BillBasicHeading"/>
    <w:next w:val="Normal"/>
    <w:rsid w:val="000812EE"/>
    <w:rPr>
      <w:rFonts w:ascii="Arial (W1)" w:hAnsi="Arial (W1)"/>
      <w:sz w:val="18"/>
    </w:rPr>
  </w:style>
  <w:style w:type="paragraph" w:customStyle="1" w:styleId="aExplanText">
    <w:name w:val="aExplanText"/>
    <w:basedOn w:val="BillBasic"/>
    <w:rsid w:val="000812EE"/>
    <w:rPr>
      <w:sz w:val="20"/>
    </w:rPr>
  </w:style>
  <w:style w:type="paragraph" w:customStyle="1" w:styleId="aParaNotePara">
    <w:name w:val="aParaNotePara"/>
    <w:basedOn w:val="aNotePara"/>
    <w:rsid w:val="000812EE"/>
    <w:pPr>
      <w:tabs>
        <w:tab w:val="clear" w:pos="2140"/>
        <w:tab w:val="clear" w:pos="2400"/>
        <w:tab w:val="right" w:pos="2644"/>
      </w:tabs>
      <w:ind w:left="3320" w:hanging="1720"/>
    </w:pPr>
  </w:style>
  <w:style w:type="character" w:customStyle="1" w:styleId="charBold">
    <w:name w:val="charBold"/>
    <w:basedOn w:val="DefaultParagraphFont"/>
    <w:rsid w:val="000812EE"/>
    <w:rPr>
      <w:b/>
    </w:rPr>
  </w:style>
  <w:style w:type="character" w:customStyle="1" w:styleId="charBoldItals">
    <w:name w:val="charBoldItals"/>
    <w:basedOn w:val="DefaultParagraphFont"/>
    <w:rsid w:val="000812EE"/>
    <w:rPr>
      <w:b/>
      <w:i/>
    </w:rPr>
  </w:style>
  <w:style w:type="character" w:customStyle="1" w:styleId="charItals">
    <w:name w:val="charItals"/>
    <w:basedOn w:val="DefaultParagraphFont"/>
    <w:rsid w:val="000812EE"/>
    <w:rPr>
      <w:i/>
    </w:rPr>
  </w:style>
  <w:style w:type="character" w:customStyle="1" w:styleId="charUnderline">
    <w:name w:val="charUnderline"/>
    <w:basedOn w:val="DefaultParagraphFont"/>
    <w:rsid w:val="000812EE"/>
    <w:rPr>
      <w:u w:val="single"/>
    </w:rPr>
  </w:style>
  <w:style w:type="paragraph" w:customStyle="1" w:styleId="TableHd">
    <w:name w:val="TableHd"/>
    <w:basedOn w:val="Normal"/>
    <w:rsid w:val="000812EE"/>
    <w:pPr>
      <w:keepNext/>
      <w:spacing w:before="300"/>
      <w:ind w:left="1200" w:hanging="1200"/>
    </w:pPr>
    <w:rPr>
      <w:rFonts w:ascii="Arial" w:hAnsi="Arial"/>
      <w:b/>
      <w:sz w:val="20"/>
    </w:rPr>
  </w:style>
  <w:style w:type="paragraph" w:customStyle="1" w:styleId="TableColHd">
    <w:name w:val="TableColHd"/>
    <w:basedOn w:val="Normal"/>
    <w:rsid w:val="000812EE"/>
    <w:pPr>
      <w:keepNext/>
      <w:spacing w:after="60"/>
    </w:pPr>
    <w:rPr>
      <w:rFonts w:ascii="Arial" w:hAnsi="Arial"/>
      <w:b/>
      <w:sz w:val="18"/>
    </w:rPr>
  </w:style>
  <w:style w:type="paragraph" w:customStyle="1" w:styleId="PenaltyPara">
    <w:name w:val="PenaltyPara"/>
    <w:basedOn w:val="Normal"/>
    <w:rsid w:val="000812EE"/>
    <w:pPr>
      <w:tabs>
        <w:tab w:val="right" w:pos="1360"/>
      </w:tabs>
      <w:spacing w:before="60"/>
      <w:ind w:left="1600" w:hanging="1600"/>
      <w:jc w:val="both"/>
    </w:pPr>
  </w:style>
  <w:style w:type="paragraph" w:customStyle="1" w:styleId="tablepara">
    <w:name w:val="table para"/>
    <w:basedOn w:val="Normal"/>
    <w:rsid w:val="000812EE"/>
    <w:pPr>
      <w:tabs>
        <w:tab w:val="right" w:pos="800"/>
        <w:tab w:val="left" w:pos="1100"/>
      </w:tabs>
      <w:spacing w:before="80" w:after="60"/>
      <w:ind w:left="1100" w:hanging="1100"/>
    </w:pPr>
  </w:style>
  <w:style w:type="paragraph" w:customStyle="1" w:styleId="tablesubpara">
    <w:name w:val="table subpara"/>
    <w:basedOn w:val="Normal"/>
    <w:rsid w:val="000812EE"/>
    <w:pPr>
      <w:tabs>
        <w:tab w:val="right" w:pos="1500"/>
        <w:tab w:val="left" w:pos="1800"/>
      </w:tabs>
      <w:spacing w:before="80" w:after="60"/>
      <w:ind w:left="1800" w:hanging="1800"/>
    </w:pPr>
  </w:style>
  <w:style w:type="paragraph" w:customStyle="1" w:styleId="TableText">
    <w:name w:val="TableText"/>
    <w:basedOn w:val="Normal"/>
    <w:rsid w:val="000812EE"/>
    <w:pPr>
      <w:spacing w:before="60" w:after="60"/>
    </w:pPr>
  </w:style>
  <w:style w:type="paragraph" w:customStyle="1" w:styleId="IshadedH5Sec">
    <w:name w:val="I shaded H5 Sec"/>
    <w:basedOn w:val="AH5Sec"/>
    <w:rsid w:val="000812EE"/>
    <w:pPr>
      <w:shd w:val="pct25" w:color="auto" w:fill="auto"/>
      <w:outlineLvl w:val="9"/>
    </w:pPr>
  </w:style>
  <w:style w:type="paragraph" w:customStyle="1" w:styleId="IshadedSchClause">
    <w:name w:val="I shaded Sch Clause"/>
    <w:basedOn w:val="IshadedH5Sec"/>
    <w:rsid w:val="000812EE"/>
  </w:style>
  <w:style w:type="paragraph" w:customStyle="1" w:styleId="Penalty">
    <w:name w:val="Penalty"/>
    <w:basedOn w:val="Amainreturn"/>
    <w:rsid w:val="000812EE"/>
  </w:style>
  <w:style w:type="paragraph" w:customStyle="1" w:styleId="aNoteText">
    <w:name w:val="aNoteText"/>
    <w:basedOn w:val="aNote"/>
    <w:rsid w:val="000812EE"/>
    <w:pPr>
      <w:spacing w:before="60"/>
      <w:ind w:firstLine="0"/>
    </w:pPr>
  </w:style>
  <w:style w:type="paragraph" w:customStyle="1" w:styleId="aExamINum">
    <w:name w:val="aExamINum"/>
    <w:basedOn w:val="aExam"/>
    <w:rsid w:val="000333A2"/>
    <w:pPr>
      <w:tabs>
        <w:tab w:val="left" w:pos="1500"/>
      </w:tabs>
      <w:ind w:left="1500" w:hanging="400"/>
    </w:pPr>
  </w:style>
  <w:style w:type="paragraph" w:customStyle="1" w:styleId="AExamIPara">
    <w:name w:val="AExamIPara"/>
    <w:basedOn w:val="aExam"/>
    <w:rsid w:val="000812EE"/>
    <w:pPr>
      <w:tabs>
        <w:tab w:val="right" w:pos="1720"/>
        <w:tab w:val="left" w:pos="2000"/>
      </w:tabs>
      <w:ind w:left="2000" w:hanging="900"/>
    </w:pPr>
  </w:style>
  <w:style w:type="paragraph" w:customStyle="1" w:styleId="AH3sec">
    <w:name w:val="A H3 sec"/>
    <w:basedOn w:val="Normal"/>
    <w:next w:val="Amain"/>
    <w:rsid w:val="000333A2"/>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812EE"/>
    <w:pPr>
      <w:tabs>
        <w:tab w:val="clear" w:pos="2600"/>
      </w:tabs>
      <w:ind w:left="1100"/>
    </w:pPr>
    <w:rPr>
      <w:sz w:val="18"/>
    </w:rPr>
  </w:style>
  <w:style w:type="paragraph" w:customStyle="1" w:styleId="aExamss">
    <w:name w:val="aExamss"/>
    <w:basedOn w:val="aNote"/>
    <w:rsid w:val="000812EE"/>
    <w:pPr>
      <w:spacing w:before="60"/>
      <w:ind w:left="1100" w:firstLine="0"/>
    </w:pPr>
  </w:style>
  <w:style w:type="paragraph" w:customStyle="1" w:styleId="aExamHdgpar">
    <w:name w:val="aExamHdgpar"/>
    <w:basedOn w:val="aExamHdgss"/>
    <w:next w:val="Normal"/>
    <w:rsid w:val="000812EE"/>
    <w:pPr>
      <w:ind w:left="1600"/>
    </w:pPr>
  </w:style>
  <w:style w:type="paragraph" w:customStyle="1" w:styleId="aExampar">
    <w:name w:val="aExampar"/>
    <w:basedOn w:val="aExamss"/>
    <w:rsid w:val="000812EE"/>
    <w:pPr>
      <w:ind w:left="1600"/>
    </w:pPr>
  </w:style>
  <w:style w:type="paragraph" w:customStyle="1" w:styleId="aExamINumss">
    <w:name w:val="aExamINumss"/>
    <w:basedOn w:val="aExamss"/>
    <w:rsid w:val="000812EE"/>
    <w:pPr>
      <w:tabs>
        <w:tab w:val="left" w:pos="1500"/>
      </w:tabs>
      <w:ind w:left="1500" w:hanging="400"/>
    </w:pPr>
  </w:style>
  <w:style w:type="paragraph" w:customStyle="1" w:styleId="aExamINumpar">
    <w:name w:val="aExamINumpar"/>
    <w:basedOn w:val="aExampar"/>
    <w:rsid w:val="000812EE"/>
    <w:pPr>
      <w:tabs>
        <w:tab w:val="left" w:pos="2000"/>
      </w:tabs>
      <w:ind w:left="2000" w:hanging="400"/>
    </w:pPr>
  </w:style>
  <w:style w:type="paragraph" w:customStyle="1" w:styleId="aExamNumTextss">
    <w:name w:val="aExamNumTextss"/>
    <w:basedOn w:val="aExamss"/>
    <w:rsid w:val="000812EE"/>
    <w:pPr>
      <w:ind w:left="1500"/>
    </w:pPr>
  </w:style>
  <w:style w:type="paragraph" w:customStyle="1" w:styleId="aExamNumTextpar">
    <w:name w:val="aExamNumTextpar"/>
    <w:basedOn w:val="aExampar"/>
    <w:rsid w:val="000333A2"/>
    <w:pPr>
      <w:ind w:left="2000"/>
    </w:pPr>
  </w:style>
  <w:style w:type="paragraph" w:customStyle="1" w:styleId="aExamBulletss">
    <w:name w:val="aExamBulletss"/>
    <w:basedOn w:val="aExamss"/>
    <w:rsid w:val="000812EE"/>
    <w:pPr>
      <w:ind w:left="1500" w:hanging="400"/>
    </w:pPr>
  </w:style>
  <w:style w:type="paragraph" w:customStyle="1" w:styleId="aExamBulletpar">
    <w:name w:val="aExamBulletpar"/>
    <w:basedOn w:val="aExampar"/>
    <w:rsid w:val="000812EE"/>
    <w:pPr>
      <w:ind w:left="2000" w:hanging="400"/>
    </w:pPr>
  </w:style>
  <w:style w:type="paragraph" w:customStyle="1" w:styleId="aExamHdgsubpar">
    <w:name w:val="aExamHdgsubpar"/>
    <w:basedOn w:val="aExamHdgss"/>
    <w:next w:val="Normal"/>
    <w:rsid w:val="000812EE"/>
    <w:pPr>
      <w:ind w:left="2140"/>
    </w:pPr>
  </w:style>
  <w:style w:type="paragraph" w:customStyle="1" w:styleId="aExamsubpar">
    <w:name w:val="aExamsubpar"/>
    <w:basedOn w:val="aExamss"/>
    <w:rsid w:val="000812EE"/>
    <w:pPr>
      <w:ind w:left="2140"/>
    </w:pPr>
  </w:style>
  <w:style w:type="paragraph" w:customStyle="1" w:styleId="aExamNumsubpar">
    <w:name w:val="aExamNumsubpar"/>
    <w:basedOn w:val="aExamsubpar"/>
    <w:rsid w:val="000333A2"/>
    <w:pPr>
      <w:tabs>
        <w:tab w:val="left" w:pos="2540"/>
      </w:tabs>
      <w:ind w:left="2540" w:hanging="400"/>
    </w:pPr>
  </w:style>
  <w:style w:type="paragraph" w:customStyle="1" w:styleId="aExamNumTextsubpar">
    <w:name w:val="aExamNumTextsubpar"/>
    <w:basedOn w:val="aExampar"/>
    <w:rsid w:val="000333A2"/>
    <w:pPr>
      <w:ind w:left="2540"/>
    </w:pPr>
  </w:style>
  <w:style w:type="paragraph" w:customStyle="1" w:styleId="aExamBulletsubpar">
    <w:name w:val="aExamBulletsubpar"/>
    <w:basedOn w:val="aExamsubpar"/>
    <w:rsid w:val="000333A2"/>
    <w:pPr>
      <w:numPr>
        <w:numId w:val="3"/>
      </w:numPr>
    </w:pPr>
  </w:style>
  <w:style w:type="paragraph" w:customStyle="1" w:styleId="aNoteTextss">
    <w:name w:val="aNoteTextss"/>
    <w:basedOn w:val="Normal"/>
    <w:rsid w:val="000812EE"/>
    <w:pPr>
      <w:spacing w:before="60"/>
      <w:ind w:left="1900"/>
      <w:jc w:val="both"/>
    </w:pPr>
    <w:rPr>
      <w:sz w:val="20"/>
    </w:rPr>
  </w:style>
  <w:style w:type="paragraph" w:customStyle="1" w:styleId="aNoteParass">
    <w:name w:val="aNoteParass"/>
    <w:basedOn w:val="Normal"/>
    <w:rsid w:val="000812EE"/>
    <w:pPr>
      <w:tabs>
        <w:tab w:val="right" w:pos="2140"/>
        <w:tab w:val="left" w:pos="2400"/>
      </w:tabs>
      <w:spacing w:before="60"/>
      <w:ind w:left="2400" w:hanging="1300"/>
      <w:jc w:val="both"/>
    </w:pPr>
    <w:rPr>
      <w:sz w:val="20"/>
    </w:rPr>
  </w:style>
  <w:style w:type="paragraph" w:customStyle="1" w:styleId="aNoteParapar">
    <w:name w:val="aNoteParapar"/>
    <w:basedOn w:val="aNotepar"/>
    <w:rsid w:val="000812EE"/>
    <w:pPr>
      <w:tabs>
        <w:tab w:val="right" w:pos="2640"/>
      </w:tabs>
      <w:spacing w:before="60"/>
      <w:ind w:left="2920" w:hanging="1320"/>
    </w:pPr>
  </w:style>
  <w:style w:type="paragraph" w:customStyle="1" w:styleId="aNotesubpar">
    <w:name w:val="aNotesubpar"/>
    <w:basedOn w:val="BillBasic"/>
    <w:next w:val="Normal"/>
    <w:rsid w:val="000812EE"/>
    <w:pPr>
      <w:ind w:left="2940" w:hanging="800"/>
    </w:pPr>
    <w:rPr>
      <w:sz w:val="20"/>
    </w:rPr>
  </w:style>
  <w:style w:type="paragraph" w:customStyle="1" w:styleId="aNoteTextsubpar">
    <w:name w:val="aNoteTextsubpar"/>
    <w:basedOn w:val="aNotesubpar"/>
    <w:rsid w:val="000812EE"/>
    <w:pPr>
      <w:spacing w:before="60"/>
      <w:ind w:firstLine="0"/>
    </w:pPr>
  </w:style>
  <w:style w:type="paragraph" w:customStyle="1" w:styleId="aNoteParasubpar">
    <w:name w:val="aNoteParasubpar"/>
    <w:basedOn w:val="aNotesubpar"/>
    <w:rsid w:val="000333A2"/>
    <w:pPr>
      <w:tabs>
        <w:tab w:val="right" w:pos="3180"/>
      </w:tabs>
      <w:spacing w:before="0"/>
      <w:ind w:left="3460" w:hanging="1320"/>
    </w:pPr>
  </w:style>
  <w:style w:type="paragraph" w:customStyle="1" w:styleId="aNoteBulletann">
    <w:name w:val="aNoteBulletann"/>
    <w:basedOn w:val="aNotess"/>
    <w:rsid w:val="000333A2"/>
    <w:pPr>
      <w:tabs>
        <w:tab w:val="left" w:pos="2200"/>
      </w:tabs>
      <w:spacing w:before="0"/>
      <w:ind w:left="0" w:firstLine="0"/>
    </w:pPr>
  </w:style>
  <w:style w:type="paragraph" w:customStyle="1" w:styleId="aNoteBulletparann">
    <w:name w:val="aNoteBulletparann"/>
    <w:basedOn w:val="aNotepar"/>
    <w:rsid w:val="000333A2"/>
    <w:pPr>
      <w:tabs>
        <w:tab w:val="left" w:pos="2700"/>
      </w:tabs>
      <w:spacing w:before="0"/>
      <w:ind w:left="0" w:firstLine="0"/>
    </w:pPr>
  </w:style>
  <w:style w:type="paragraph" w:customStyle="1" w:styleId="aNoteBulletsubpar">
    <w:name w:val="aNoteBulletsubpar"/>
    <w:basedOn w:val="aNotesubpar"/>
    <w:rsid w:val="000333A2"/>
    <w:pPr>
      <w:numPr>
        <w:numId w:val="4"/>
      </w:numPr>
      <w:tabs>
        <w:tab w:val="left" w:pos="3240"/>
      </w:tabs>
      <w:spacing w:before="0"/>
    </w:pPr>
  </w:style>
  <w:style w:type="paragraph" w:customStyle="1" w:styleId="aNoteBulletss">
    <w:name w:val="aNoteBulletss"/>
    <w:basedOn w:val="Normal"/>
    <w:rsid w:val="000812EE"/>
    <w:pPr>
      <w:spacing w:before="60"/>
      <w:ind w:left="2300" w:hanging="400"/>
      <w:jc w:val="both"/>
    </w:pPr>
    <w:rPr>
      <w:sz w:val="20"/>
    </w:rPr>
  </w:style>
  <w:style w:type="paragraph" w:customStyle="1" w:styleId="aNoteBulletpar">
    <w:name w:val="aNoteBulletpar"/>
    <w:basedOn w:val="aNotepar"/>
    <w:rsid w:val="000812EE"/>
    <w:pPr>
      <w:spacing w:before="60"/>
      <w:ind w:left="2800" w:hanging="400"/>
    </w:pPr>
  </w:style>
  <w:style w:type="paragraph" w:customStyle="1" w:styleId="aExplanBullet">
    <w:name w:val="aExplanBullet"/>
    <w:basedOn w:val="Normal"/>
    <w:rsid w:val="000812EE"/>
    <w:pPr>
      <w:spacing w:before="140"/>
      <w:ind w:left="400" w:hanging="400"/>
      <w:jc w:val="both"/>
    </w:pPr>
    <w:rPr>
      <w:snapToGrid w:val="0"/>
      <w:sz w:val="20"/>
    </w:rPr>
  </w:style>
  <w:style w:type="paragraph" w:customStyle="1" w:styleId="AuthLaw">
    <w:name w:val="AuthLaw"/>
    <w:basedOn w:val="BillBasic"/>
    <w:rsid w:val="000333A2"/>
    <w:rPr>
      <w:rFonts w:ascii="Arial" w:hAnsi="Arial"/>
      <w:b/>
      <w:sz w:val="20"/>
    </w:rPr>
  </w:style>
  <w:style w:type="character" w:customStyle="1" w:styleId="charContents">
    <w:name w:val="charContents"/>
    <w:basedOn w:val="DefaultParagraphFont"/>
    <w:rsid w:val="000812EE"/>
  </w:style>
  <w:style w:type="character" w:customStyle="1" w:styleId="charPage">
    <w:name w:val="charPage"/>
    <w:basedOn w:val="DefaultParagraphFont"/>
    <w:rsid w:val="000812EE"/>
  </w:style>
  <w:style w:type="paragraph" w:customStyle="1" w:styleId="Letterhead">
    <w:name w:val="Letterhead"/>
    <w:rsid w:val="000333A2"/>
    <w:pPr>
      <w:widowControl w:val="0"/>
      <w:spacing w:after="180"/>
      <w:jc w:val="right"/>
    </w:pPr>
    <w:rPr>
      <w:rFonts w:ascii="Arial" w:hAnsi="Arial"/>
      <w:sz w:val="32"/>
      <w:lang w:eastAsia="en-US"/>
    </w:rPr>
  </w:style>
  <w:style w:type="character" w:styleId="PageNumber">
    <w:name w:val="page number"/>
    <w:basedOn w:val="DefaultParagraphFont"/>
    <w:rsid w:val="000812EE"/>
  </w:style>
  <w:style w:type="paragraph" w:styleId="BodyTextIndent3">
    <w:name w:val="Body Text Indent 3"/>
    <w:basedOn w:val="Normal"/>
    <w:rsid w:val="000333A2"/>
    <w:pPr>
      <w:ind w:left="2835" w:hanging="425"/>
    </w:pPr>
  </w:style>
  <w:style w:type="paragraph" w:styleId="BodyTextIndent">
    <w:name w:val="Body Text Indent"/>
    <w:basedOn w:val="Normal"/>
    <w:rsid w:val="000333A2"/>
    <w:pPr>
      <w:ind w:left="2127" w:hanging="327"/>
    </w:pPr>
  </w:style>
  <w:style w:type="paragraph" w:styleId="BodyTextIndent2">
    <w:name w:val="Body Text Indent 2"/>
    <w:basedOn w:val="Normal"/>
    <w:rsid w:val="000333A2"/>
    <w:pPr>
      <w:ind w:left="2410" w:hanging="1690"/>
    </w:pPr>
  </w:style>
  <w:style w:type="paragraph" w:styleId="TOC9">
    <w:name w:val="toc 9"/>
    <w:basedOn w:val="Normal"/>
    <w:next w:val="Normal"/>
    <w:autoRedefine/>
    <w:uiPriority w:val="39"/>
    <w:rsid w:val="000812EE"/>
    <w:pPr>
      <w:ind w:left="1920" w:right="600"/>
    </w:pPr>
  </w:style>
  <w:style w:type="paragraph" w:customStyle="1" w:styleId="Status">
    <w:name w:val="Status"/>
    <w:basedOn w:val="Normal"/>
    <w:rsid w:val="000812EE"/>
    <w:pPr>
      <w:spacing w:before="280"/>
      <w:jc w:val="center"/>
    </w:pPr>
    <w:rPr>
      <w:rFonts w:ascii="Arial" w:hAnsi="Arial"/>
      <w:sz w:val="14"/>
    </w:rPr>
  </w:style>
  <w:style w:type="paragraph" w:customStyle="1" w:styleId="FooterInfoCentre">
    <w:name w:val="FooterInfoCentre"/>
    <w:basedOn w:val="FooterInfo"/>
    <w:rsid w:val="000812EE"/>
    <w:pPr>
      <w:spacing w:before="60"/>
      <w:jc w:val="center"/>
    </w:pPr>
  </w:style>
  <w:style w:type="paragraph" w:customStyle="1" w:styleId="00Spine">
    <w:name w:val="00Spine"/>
    <w:basedOn w:val="Normal"/>
    <w:rsid w:val="000812EE"/>
  </w:style>
  <w:style w:type="paragraph" w:customStyle="1" w:styleId="05Endnote0">
    <w:name w:val="05Endnote"/>
    <w:basedOn w:val="Normal"/>
    <w:rsid w:val="000812EE"/>
  </w:style>
  <w:style w:type="paragraph" w:customStyle="1" w:styleId="06Copyright">
    <w:name w:val="06Copyright"/>
    <w:basedOn w:val="Normal"/>
    <w:rsid w:val="000812EE"/>
  </w:style>
  <w:style w:type="paragraph" w:customStyle="1" w:styleId="RepubNo">
    <w:name w:val="RepubNo"/>
    <w:basedOn w:val="BillBasicHeading"/>
    <w:rsid w:val="000812EE"/>
    <w:pPr>
      <w:keepNext w:val="0"/>
      <w:spacing w:before="600"/>
      <w:jc w:val="both"/>
    </w:pPr>
    <w:rPr>
      <w:sz w:val="26"/>
    </w:rPr>
  </w:style>
  <w:style w:type="paragraph" w:customStyle="1" w:styleId="EffectiveDate">
    <w:name w:val="EffectiveDate"/>
    <w:basedOn w:val="Normal"/>
    <w:rsid w:val="000812EE"/>
    <w:pPr>
      <w:spacing w:before="120"/>
    </w:pPr>
    <w:rPr>
      <w:rFonts w:ascii="Arial" w:hAnsi="Arial"/>
      <w:b/>
      <w:sz w:val="26"/>
    </w:rPr>
  </w:style>
  <w:style w:type="paragraph" w:customStyle="1" w:styleId="CoverInForce">
    <w:name w:val="CoverInForce"/>
    <w:basedOn w:val="BillBasicHeading"/>
    <w:rsid w:val="000812EE"/>
    <w:pPr>
      <w:keepNext w:val="0"/>
      <w:spacing w:before="400"/>
    </w:pPr>
    <w:rPr>
      <w:b w:val="0"/>
    </w:rPr>
  </w:style>
  <w:style w:type="paragraph" w:customStyle="1" w:styleId="CoverHeading">
    <w:name w:val="CoverHeading"/>
    <w:basedOn w:val="Normal"/>
    <w:rsid w:val="000812EE"/>
    <w:rPr>
      <w:rFonts w:ascii="Arial" w:hAnsi="Arial"/>
      <w:b/>
    </w:rPr>
  </w:style>
  <w:style w:type="paragraph" w:customStyle="1" w:styleId="CoverSubHdg">
    <w:name w:val="CoverSubHdg"/>
    <w:basedOn w:val="CoverHeading"/>
    <w:rsid w:val="000812EE"/>
    <w:pPr>
      <w:spacing w:before="120"/>
    </w:pPr>
    <w:rPr>
      <w:sz w:val="20"/>
    </w:rPr>
  </w:style>
  <w:style w:type="paragraph" w:customStyle="1" w:styleId="CoverActName">
    <w:name w:val="CoverActName"/>
    <w:basedOn w:val="BillBasicHeading"/>
    <w:rsid w:val="000812EE"/>
    <w:pPr>
      <w:keepNext w:val="0"/>
      <w:spacing w:before="260"/>
    </w:pPr>
  </w:style>
  <w:style w:type="paragraph" w:customStyle="1" w:styleId="CoverText">
    <w:name w:val="CoverText"/>
    <w:basedOn w:val="Normal"/>
    <w:uiPriority w:val="99"/>
    <w:rsid w:val="000812EE"/>
    <w:pPr>
      <w:spacing w:before="100"/>
      <w:jc w:val="both"/>
    </w:pPr>
    <w:rPr>
      <w:sz w:val="20"/>
    </w:rPr>
  </w:style>
  <w:style w:type="paragraph" w:customStyle="1" w:styleId="CoverTextPara">
    <w:name w:val="CoverTextPara"/>
    <w:basedOn w:val="CoverText"/>
    <w:rsid w:val="000812EE"/>
    <w:pPr>
      <w:tabs>
        <w:tab w:val="right" w:pos="600"/>
        <w:tab w:val="left" w:pos="840"/>
      </w:tabs>
      <w:ind w:left="840" w:hanging="840"/>
    </w:pPr>
  </w:style>
  <w:style w:type="paragraph" w:customStyle="1" w:styleId="AH1ChapterSymb">
    <w:name w:val="A H1 Chapter Symb"/>
    <w:basedOn w:val="AH1Chapter"/>
    <w:next w:val="AH2Part"/>
    <w:rsid w:val="000812EE"/>
    <w:pPr>
      <w:tabs>
        <w:tab w:val="clear" w:pos="2600"/>
        <w:tab w:val="left" w:pos="0"/>
      </w:tabs>
      <w:ind w:left="2480" w:hanging="2960"/>
    </w:pPr>
  </w:style>
  <w:style w:type="paragraph" w:customStyle="1" w:styleId="AH2PartSymb">
    <w:name w:val="A H2 Part Symb"/>
    <w:basedOn w:val="AH2Part"/>
    <w:next w:val="AH3Div"/>
    <w:rsid w:val="000812EE"/>
    <w:pPr>
      <w:tabs>
        <w:tab w:val="clear" w:pos="2600"/>
        <w:tab w:val="left" w:pos="0"/>
      </w:tabs>
      <w:ind w:left="2480" w:hanging="2960"/>
    </w:pPr>
  </w:style>
  <w:style w:type="paragraph" w:customStyle="1" w:styleId="AH3DivSymb">
    <w:name w:val="A H3 Div Symb"/>
    <w:basedOn w:val="AH3Div"/>
    <w:next w:val="AH5Sec"/>
    <w:rsid w:val="000812EE"/>
    <w:pPr>
      <w:tabs>
        <w:tab w:val="clear" w:pos="2600"/>
        <w:tab w:val="left" w:pos="0"/>
      </w:tabs>
      <w:ind w:left="2480" w:hanging="2960"/>
    </w:pPr>
  </w:style>
  <w:style w:type="paragraph" w:customStyle="1" w:styleId="AH4SubDivSymb">
    <w:name w:val="A H4 SubDiv Symb"/>
    <w:basedOn w:val="AH4SubDiv"/>
    <w:next w:val="AH5Sec"/>
    <w:rsid w:val="000812EE"/>
    <w:pPr>
      <w:tabs>
        <w:tab w:val="clear" w:pos="2600"/>
        <w:tab w:val="left" w:pos="0"/>
      </w:tabs>
      <w:ind w:left="2480" w:hanging="2960"/>
    </w:pPr>
  </w:style>
  <w:style w:type="paragraph" w:customStyle="1" w:styleId="AH5SecSymb">
    <w:name w:val="A H5 Sec Symb"/>
    <w:basedOn w:val="AH5Sec"/>
    <w:next w:val="Amain"/>
    <w:rsid w:val="000812EE"/>
    <w:pPr>
      <w:tabs>
        <w:tab w:val="clear" w:pos="1100"/>
        <w:tab w:val="left" w:pos="0"/>
      </w:tabs>
      <w:ind w:hanging="1580"/>
    </w:pPr>
  </w:style>
  <w:style w:type="paragraph" w:customStyle="1" w:styleId="AmainSymb">
    <w:name w:val="A main Symb"/>
    <w:basedOn w:val="Amain"/>
    <w:rsid w:val="000812EE"/>
    <w:pPr>
      <w:tabs>
        <w:tab w:val="right" w:pos="480"/>
      </w:tabs>
      <w:ind w:left="1120" w:hanging="1600"/>
    </w:pPr>
  </w:style>
  <w:style w:type="paragraph" w:customStyle="1" w:styleId="AparaSymb">
    <w:name w:val="A para Symb"/>
    <w:basedOn w:val="Apara"/>
    <w:rsid w:val="000812EE"/>
    <w:pPr>
      <w:tabs>
        <w:tab w:val="right" w:pos="0"/>
      </w:tabs>
      <w:ind w:hanging="2080"/>
    </w:pPr>
  </w:style>
  <w:style w:type="paragraph" w:customStyle="1" w:styleId="Assectheading">
    <w:name w:val="A ssect heading"/>
    <w:basedOn w:val="Amain"/>
    <w:rsid w:val="000812EE"/>
    <w:pPr>
      <w:keepNext/>
      <w:tabs>
        <w:tab w:val="clear" w:pos="900"/>
        <w:tab w:val="clear" w:pos="1100"/>
      </w:tabs>
      <w:spacing w:before="300"/>
      <w:ind w:left="0" w:firstLine="0"/>
      <w:outlineLvl w:val="9"/>
    </w:pPr>
    <w:rPr>
      <w:i/>
    </w:rPr>
  </w:style>
  <w:style w:type="paragraph" w:customStyle="1" w:styleId="AsubparaSymb">
    <w:name w:val="A subpara Symb"/>
    <w:basedOn w:val="Asubpara"/>
    <w:rsid w:val="000812EE"/>
    <w:pPr>
      <w:tabs>
        <w:tab w:val="left" w:pos="0"/>
      </w:tabs>
      <w:ind w:left="1620"/>
    </w:pPr>
  </w:style>
  <w:style w:type="paragraph" w:customStyle="1" w:styleId="Actdetails">
    <w:name w:val="Act details"/>
    <w:basedOn w:val="Normal"/>
    <w:rsid w:val="000812EE"/>
    <w:pPr>
      <w:spacing w:before="20"/>
      <w:ind w:left="1400"/>
    </w:pPr>
    <w:rPr>
      <w:rFonts w:ascii="Arial" w:hAnsi="Arial"/>
      <w:sz w:val="20"/>
    </w:rPr>
  </w:style>
  <w:style w:type="paragraph" w:customStyle="1" w:styleId="AmdtEntries">
    <w:name w:val="AmdtEntries"/>
    <w:basedOn w:val="BillBasicHeading"/>
    <w:rsid w:val="000812EE"/>
    <w:pPr>
      <w:keepNext w:val="0"/>
      <w:tabs>
        <w:tab w:val="clear" w:pos="2600"/>
      </w:tabs>
      <w:spacing w:before="0"/>
      <w:ind w:left="3200" w:hanging="2100"/>
    </w:pPr>
    <w:rPr>
      <w:sz w:val="18"/>
    </w:rPr>
  </w:style>
  <w:style w:type="paragraph" w:customStyle="1" w:styleId="AmdtEntriesDefL2">
    <w:name w:val="AmdtEntriesDefL2"/>
    <w:basedOn w:val="AmdtEntries"/>
    <w:rsid w:val="000812EE"/>
    <w:pPr>
      <w:tabs>
        <w:tab w:val="left" w:pos="3000"/>
      </w:tabs>
      <w:ind w:left="3600" w:hanging="2500"/>
    </w:pPr>
  </w:style>
  <w:style w:type="paragraph" w:customStyle="1" w:styleId="AmdtsEntriesDefL2">
    <w:name w:val="AmdtsEntriesDefL2"/>
    <w:basedOn w:val="Normal"/>
    <w:rsid w:val="000812EE"/>
    <w:pPr>
      <w:tabs>
        <w:tab w:val="left" w:pos="3000"/>
      </w:tabs>
      <w:ind w:left="3100" w:hanging="2000"/>
    </w:pPr>
    <w:rPr>
      <w:rFonts w:ascii="Arial" w:hAnsi="Arial"/>
      <w:sz w:val="18"/>
    </w:rPr>
  </w:style>
  <w:style w:type="paragraph" w:customStyle="1" w:styleId="AmdtsEntries">
    <w:name w:val="AmdtsEntries"/>
    <w:basedOn w:val="BillBasicHeading"/>
    <w:rsid w:val="000812E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812EE"/>
    <w:pPr>
      <w:tabs>
        <w:tab w:val="clear" w:pos="2600"/>
      </w:tabs>
      <w:spacing w:before="120"/>
      <w:ind w:left="1100"/>
    </w:pPr>
    <w:rPr>
      <w:sz w:val="18"/>
    </w:rPr>
  </w:style>
  <w:style w:type="paragraph" w:customStyle="1" w:styleId="Asamby">
    <w:name w:val="As am by"/>
    <w:basedOn w:val="Normal"/>
    <w:next w:val="Normal"/>
    <w:rsid w:val="000812EE"/>
    <w:pPr>
      <w:spacing w:before="240"/>
      <w:ind w:left="1100"/>
    </w:pPr>
    <w:rPr>
      <w:rFonts w:ascii="Arial" w:hAnsi="Arial"/>
      <w:sz w:val="20"/>
    </w:rPr>
  </w:style>
  <w:style w:type="character" w:customStyle="1" w:styleId="charSymb">
    <w:name w:val="charSymb"/>
    <w:basedOn w:val="DefaultParagraphFont"/>
    <w:rsid w:val="000812EE"/>
    <w:rPr>
      <w:rFonts w:ascii="Arial" w:hAnsi="Arial"/>
      <w:sz w:val="24"/>
      <w:bdr w:val="single" w:sz="4" w:space="0" w:color="auto"/>
    </w:rPr>
  </w:style>
  <w:style w:type="character" w:customStyle="1" w:styleId="charTableNo">
    <w:name w:val="charTableNo"/>
    <w:basedOn w:val="DefaultParagraphFont"/>
    <w:rsid w:val="000812EE"/>
  </w:style>
  <w:style w:type="character" w:customStyle="1" w:styleId="charTableText">
    <w:name w:val="charTableText"/>
    <w:basedOn w:val="DefaultParagraphFont"/>
    <w:rsid w:val="000812EE"/>
  </w:style>
  <w:style w:type="paragraph" w:customStyle="1" w:styleId="Dict-HeadingSymb">
    <w:name w:val="Dict-Heading Symb"/>
    <w:basedOn w:val="Dict-Heading"/>
    <w:rsid w:val="000812EE"/>
    <w:pPr>
      <w:tabs>
        <w:tab w:val="left" w:pos="0"/>
      </w:tabs>
      <w:ind w:left="2480" w:hanging="2960"/>
    </w:pPr>
  </w:style>
  <w:style w:type="paragraph" w:customStyle="1" w:styleId="EarlierRepubEntries">
    <w:name w:val="EarlierRepubEntries"/>
    <w:basedOn w:val="Normal"/>
    <w:rsid w:val="000812EE"/>
    <w:pPr>
      <w:spacing w:before="60" w:after="60"/>
    </w:pPr>
    <w:rPr>
      <w:rFonts w:ascii="Arial" w:hAnsi="Arial"/>
      <w:sz w:val="18"/>
    </w:rPr>
  </w:style>
  <w:style w:type="paragraph" w:customStyle="1" w:styleId="EarlierRepubHdg">
    <w:name w:val="EarlierRepubHdg"/>
    <w:basedOn w:val="Normal"/>
    <w:rsid w:val="000812EE"/>
    <w:pPr>
      <w:keepNext/>
    </w:pPr>
    <w:rPr>
      <w:rFonts w:ascii="Arial" w:hAnsi="Arial"/>
      <w:b/>
      <w:sz w:val="20"/>
    </w:rPr>
  </w:style>
  <w:style w:type="paragraph" w:customStyle="1" w:styleId="Endnote20">
    <w:name w:val="Endnote2"/>
    <w:basedOn w:val="Normal"/>
    <w:rsid w:val="000812EE"/>
    <w:pPr>
      <w:keepNext/>
      <w:tabs>
        <w:tab w:val="left" w:pos="1100"/>
      </w:tabs>
      <w:spacing w:before="360"/>
    </w:pPr>
    <w:rPr>
      <w:rFonts w:ascii="Arial" w:hAnsi="Arial"/>
      <w:b/>
    </w:rPr>
  </w:style>
  <w:style w:type="paragraph" w:customStyle="1" w:styleId="Endnote3">
    <w:name w:val="Endnote3"/>
    <w:basedOn w:val="Normal"/>
    <w:rsid w:val="000812E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812E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812EE"/>
    <w:pPr>
      <w:spacing w:before="60"/>
      <w:ind w:left="1100"/>
      <w:jc w:val="both"/>
    </w:pPr>
    <w:rPr>
      <w:sz w:val="20"/>
    </w:rPr>
  </w:style>
  <w:style w:type="paragraph" w:customStyle="1" w:styleId="EndNoteParas">
    <w:name w:val="EndNoteParas"/>
    <w:basedOn w:val="EndNoteTextEPS"/>
    <w:rsid w:val="000812EE"/>
    <w:pPr>
      <w:tabs>
        <w:tab w:val="right" w:pos="1432"/>
      </w:tabs>
      <w:ind w:left="1840" w:hanging="1840"/>
    </w:pPr>
  </w:style>
  <w:style w:type="paragraph" w:customStyle="1" w:styleId="EndnotesAbbrev">
    <w:name w:val="EndnotesAbbrev"/>
    <w:basedOn w:val="Normal"/>
    <w:rsid w:val="000812EE"/>
    <w:pPr>
      <w:spacing w:before="20"/>
    </w:pPr>
    <w:rPr>
      <w:rFonts w:ascii="Arial" w:hAnsi="Arial"/>
      <w:color w:val="000000"/>
      <w:sz w:val="16"/>
    </w:rPr>
  </w:style>
  <w:style w:type="paragraph" w:customStyle="1" w:styleId="EPSCoverTop">
    <w:name w:val="EPSCoverTop"/>
    <w:basedOn w:val="Normal"/>
    <w:rsid w:val="000812EE"/>
    <w:pPr>
      <w:jc w:val="right"/>
    </w:pPr>
    <w:rPr>
      <w:rFonts w:ascii="Arial" w:hAnsi="Arial"/>
      <w:sz w:val="20"/>
    </w:rPr>
  </w:style>
  <w:style w:type="paragraph" w:customStyle="1" w:styleId="LegHistNote">
    <w:name w:val="LegHistNote"/>
    <w:basedOn w:val="Actdetails"/>
    <w:rsid w:val="000812EE"/>
    <w:pPr>
      <w:spacing w:before="60"/>
      <w:ind w:left="2700" w:right="-60" w:hanging="1300"/>
    </w:pPr>
    <w:rPr>
      <w:sz w:val="18"/>
    </w:rPr>
  </w:style>
  <w:style w:type="paragraph" w:customStyle="1" w:styleId="LongTitleSymb">
    <w:name w:val="LongTitleSymb"/>
    <w:basedOn w:val="LongTitle"/>
    <w:rsid w:val="000812EE"/>
    <w:pPr>
      <w:ind w:hanging="480"/>
    </w:pPr>
  </w:style>
  <w:style w:type="paragraph" w:styleId="MacroText">
    <w:name w:val="macro"/>
    <w:semiHidden/>
    <w:rsid w:val="000812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0812EE"/>
    <w:pPr>
      <w:tabs>
        <w:tab w:val="left" w:pos="2600"/>
      </w:tabs>
      <w:ind w:left="2600"/>
    </w:pPr>
  </w:style>
  <w:style w:type="paragraph" w:customStyle="1" w:styleId="ModH1Chapter">
    <w:name w:val="Mod H1 Chapter"/>
    <w:basedOn w:val="IH1Chap"/>
    <w:rsid w:val="000812EE"/>
    <w:pPr>
      <w:tabs>
        <w:tab w:val="clear" w:pos="2600"/>
        <w:tab w:val="left" w:pos="3300"/>
      </w:tabs>
      <w:ind w:left="3300"/>
    </w:pPr>
  </w:style>
  <w:style w:type="paragraph" w:customStyle="1" w:styleId="ModH2Part">
    <w:name w:val="Mod H2 Part"/>
    <w:basedOn w:val="IH2Part"/>
    <w:rsid w:val="000812EE"/>
    <w:pPr>
      <w:tabs>
        <w:tab w:val="clear" w:pos="2600"/>
        <w:tab w:val="left" w:pos="3300"/>
      </w:tabs>
      <w:ind w:left="3300"/>
    </w:pPr>
  </w:style>
  <w:style w:type="paragraph" w:customStyle="1" w:styleId="ModH3Div">
    <w:name w:val="Mod H3 Div"/>
    <w:basedOn w:val="IH3Div"/>
    <w:rsid w:val="000812EE"/>
    <w:pPr>
      <w:tabs>
        <w:tab w:val="clear" w:pos="2600"/>
        <w:tab w:val="left" w:pos="3300"/>
      </w:tabs>
      <w:ind w:left="3300"/>
    </w:pPr>
  </w:style>
  <w:style w:type="paragraph" w:customStyle="1" w:styleId="ModH4SubDiv">
    <w:name w:val="Mod H4 SubDiv"/>
    <w:basedOn w:val="IH4SubDiv"/>
    <w:rsid w:val="000812EE"/>
    <w:pPr>
      <w:tabs>
        <w:tab w:val="clear" w:pos="2600"/>
        <w:tab w:val="left" w:pos="3300"/>
      </w:tabs>
      <w:ind w:left="3300"/>
    </w:pPr>
  </w:style>
  <w:style w:type="paragraph" w:customStyle="1" w:styleId="ModH5Sec">
    <w:name w:val="Mod H5 Sec"/>
    <w:basedOn w:val="IH5Sec"/>
    <w:rsid w:val="000812EE"/>
    <w:pPr>
      <w:tabs>
        <w:tab w:val="clear" w:pos="1100"/>
        <w:tab w:val="left" w:pos="1800"/>
      </w:tabs>
      <w:ind w:left="2200"/>
    </w:pPr>
  </w:style>
  <w:style w:type="paragraph" w:customStyle="1" w:styleId="Modmain">
    <w:name w:val="Mod main"/>
    <w:basedOn w:val="Amain"/>
    <w:rsid w:val="000812EE"/>
    <w:pPr>
      <w:tabs>
        <w:tab w:val="clear" w:pos="900"/>
        <w:tab w:val="clear" w:pos="1100"/>
        <w:tab w:val="right" w:pos="1600"/>
        <w:tab w:val="left" w:pos="1800"/>
      </w:tabs>
      <w:ind w:left="2200"/>
    </w:pPr>
  </w:style>
  <w:style w:type="paragraph" w:customStyle="1" w:styleId="Modmainreturn">
    <w:name w:val="Mod main return"/>
    <w:basedOn w:val="Amainreturn"/>
    <w:rsid w:val="000812EE"/>
    <w:pPr>
      <w:ind w:left="1800"/>
    </w:pPr>
  </w:style>
  <w:style w:type="paragraph" w:customStyle="1" w:styleId="ModNote">
    <w:name w:val="Mod Note"/>
    <w:basedOn w:val="aNote"/>
    <w:rsid w:val="000812EE"/>
    <w:pPr>
      <w:tabs>
        <w:tab w:val="left" w:pos="2600"/>
      </w:tabs>
      <w:ind w:left="2600"/>
    </w:pPr>
  </w:style>
  <w:style w:type="paragraph" w:customStyle="1" w:styleId="Modpara">
    <w:name w:val="Mod para"/>
    <w:basedOn w:val="BillBasic"/>
    <w:rsid w:val="000812EE"/>
    <w:pPr>
      <w:tabs>
        <w:tab w:val="right" w:pos="2100"/>
        <w:tab w:val="left" w:pos="2300"/>
      </w:tabs>
      <w:ind w:left="2700" w:hanging="1600"/>
      <w:outlineLvl w:val="6"/>
    </w:pPr>
  </w:style>
  <w:style w:type="paragraph" w:customStyle="1" w:styleId="Modparareturn">
    <w:name w:val="Mod para return"/>
    <w:basedOn w:val="Aparareturn"/>
    <w:rsid w:val="000812EE"/>
    <w:pPr>
      <w:ind w:left="2300"/>
    </w:pPr>
  </w:style>
  <w:style w:type="paragraph" w:customStyle="1" w:styleId="Modref">
    <w:name w:val="Mod ref"/>
    <w:basedOn w:val="ref"/>
    <w:rsid w:val="000812EE"/>
    <w:pPr>
      <w:ind w:left="1100"/>
    </w:pPr>
  </w:style>
  <w:style w:type="paragraph" w:customStyle="1" w:styleId="Modsubpara">
    <w:name w:val="Mod subpara"/>
    <w:basedOn w:val="Asubpara"/>
    <w:rsid w:val="000812E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0812EE"/>
    <w:pPr>
      <w:ind w:left="3040"/>
    </w:pPr>
  </w:style>
  <w:style w:type="paragraph" w:customStyle="1" w:styleId="Modsubsubpara">
    <w:name w:val="Mod subsubpara"/>
    <w:basedOn w:val="Asubsubpara"/>
    <w:rsid w:val="000812E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0812EE"/>
    <w:pPr>
      <w:keepNext/>
      <w:spacing w:before="180"/>
      <w:ind w:left="1100"/>
    </w:pPr>
    <w:rPr>
      <w:rFonts w:ascii="Arial" w:hAnsi="Arial"/>
      <w:b/>
      <w:sz w:val="20"/>
    </w:rPr>
  </w:style>
  <w:style w:type="paragraph" w:customStyle="1" w:styleId="NewReg">
    <w:name w:val="New Reg"/>
    <w:basedOn w:val="NewAct"/>
    <w:next w:val="Actdetails"/>
    <w:rsid w:val="000812EE"/>
  </w:style>
  <w:style w:type="paragraph" w:customStyle="1" w:styleId="RenumProvEntries">
    <w:name w:val="RenumProvEntries"/>
    <w:basedOn w:val="Normal"/>
    <w:rsid w:val="000812EE"/>
    <w:pPr>
      <w:spacing w:before="60"/>
    </w:pPr>
    <w:rPr>
      <w:rFonts w:ascii="Arial" w:hAnsi="Arial"/>
      <w:sz w:val="20"/>
    </w:rPr>
  </w:style>
  <w:style w:type="paragraph" w:customStyle="1" w:styleId="RenumProvHdg">
    <w:name w:val="RenumProvHdg"/>
    <w:basedOn w:val="Normal"/>
    <w:rsid w:val="000812EE"/>
    <w:rPr>
      <w:rFonts w:ascii="Arial" w:hAnsi="Arial"/>
      <w:b/>
      <w:sz w:val="22"/>
    </w:rPr>
  </w:style>
  <w:style w:type="paragraph" w:customStyle="1" w:styleId="RenumProvHeader">
    <w:name w:val="RenumProvHeader"/>
    <w:basedOn w:val="Normal"/>
    <w:rsid w:val="000812EE"/>
    <w:rPr>
      <w:rFonts w:ascii="Arial" w:hAnsi="Arial"/>
      <w:b/>
      <w:sz w:val="22"/>
    </w:rPr>
  </w:style>
  <w:style w:type="paragraph" w:customStyle="1" w:styleId="RenumProvSubsectEntries">
    <w:name w:val="RenumProvSubsectEntries"/>
    <w:basedOn w:val="RenumProvEntries"/>
    <w:rsid w:val="000812EE"/>
    <w:pPr>
      <w:ind w:left="252"/>
    </w:pPr>
  </w:style>
  <w:style w:type="paragraph" w:customStyle="1" w:styleId="RenumTableHdg">
    <w:name w:val="RenumTableHdg"/>
    <w:basedOn w:val="Normal"/>
    <w:rsid w:val="000812EE"/>
    <w:pPr>
      <w:spacing w:before="120"/>
    </w:pPr>
    <w:rPr>
      <w:rFonts w:ascii="Arial" w:hAnsi="Arial"/>
      <w:b/>
      <w:sz w:val="20"/>
    </w:rPr>
  </w:style>
  <w:style w:type="paragraph" w:customStyle="1" w:styleId="SchclauseheadingSymb">
    <w:name w:val="Sch clause heading Symb"/>
    <w:basedOn w:val="Schclauseheading"/>
    <w:rsid w:val="000812EE"/>
    <w:pPr>
      <w:tabs>
        <w:tab w:val="left" w:pos="0"/>
      </w:tabs>
      <w:ind w:left="980" w:hanging="1460"/>
    </w:pPr>
  </w:style>
  <w:style w:type="paragraph" w:customStyle="1" w:styleId="SchSubClause">
    <w:name w:val="Sch SubClause"/>
    <w:basedOn w:val="Schclauseheading"/>
    <w:rsid w:val="000812EE"/>
    <w:rPr>
      <w:b w:val="0"/>
    </w:rPr>
  </w:style>
  <w:style w:type="paragraph" w:customStyle="1" w:styleId="Sched-FormSymb">
    <w:name w:val="Sched-Form Symb"/>
    <w:basedOn w:val="Sched-Form"/>
    <w:rsid w:val="000812EE"/>
    <w:pPr>
      <w:tabs>
        <w:tab w:val="left" w:pos="0"/>
      </w:tabs>
      <w:ind w:left="2480" w:hanging="2960"/>
    </w:pPr>
  </w:style>
  <w:style w:type="paragraph" w:customStyle="1" w:styleId="Sched-Form-18Space">
    <w:name w:val="Sched-Form-18Space"/>
    <w:basedOn w:val="Normal"/>
    <w:rsid w:val="000812EE"/>
    <w:pPr>
      <w:spacing w:before="360" w:after="60"/>
    </w:pPr>
    <w:rPr>
      <w:sz w:val="22"/>
    </w:rPr>
  </w:style>
  <w:style w:type="paragraph" w:customStyle="1" w:styleId="Sched-headingSymb">
    <w:name w:val="Sched-heading Symb"/>
    <w:basedOn w:val="Sched-heading"/>
    <w:rsid w:val="000812EE"/>
    <w:pPr>
      <w:tabs>
        <w:tab w:val="left" w:pos="0"/>
      </w:tabs>
      <w:ind w:left="2480" w:hanging="2960"/>
    </w:pPr>
  </w:style>
  <w:style w:type="paragraph" w:customStyle="1" w:styleId="Sched-PartSymb">
    <w:name w:val="Sched-Part Symb"/>
    <w:basedOn w:val="Sched-Part"/>
    <w:rsid w:val="000812EE"/>
    <w:pPr>
      <w:tabs>
        <w:tab w:val="left" w:pos="0"/>
      </w:tabs>
      <w:ind w:left="2480" w:hanging="2960"/>
    </w:pPr>
  </w:style>
  <w:style w:type="paragraph" w:styleId="Subtitle">
    <w:name w:val="Subtitle"/>
    <w:basedOn w:val="Normal"/>
    <w:qFormat/>
    <w:rsid w:val="000812EE"/>
    <w:pPr>
      <w:spacing w:after="60"/>
      <w:jc w:val="center"/>
      <w:outlineLvl w:val="1"/>
    </w:pPr>
    <w:rPr>
      <w:rFonts w:ascii="Arial" w:hAnsi="Arial"/>
    </w:rPr>
  </w:style>
  <w:style w:type="paragraph" w:customStyle="1" w:styleId="TLegEntries">
    <w:name w:val="TLegEntries"/>
    <w:basedOn w:val="Normal"/>
    <w:rsid w:val="000812E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812EE"/>
    <w:pPr>
      <w:ind w:firstLine="0"/>
    </w:pPr>
    <w:rPr>
      <w:b/>
    </w:rPr>
  </w:style>
  <w:style w:type="paragraph" w:customStyle="1" w:styleId="EndNoteTextPub">
    <w:name w:val="EndNoteTextPub"/>
    <w:basedOn w:val="Normal"/>
    <w:rsid w:val="000812EE"/>
    <w:pPr>
      <w:spacing w:before="60"/>
      <w:ind w:left="1100"/>
      <w:jc w:val="both"/>
    </w:pPr>
    <w:rPr>
      <w:sz w:val="20"/>
    </w:rPr>
  </w:style>
  <w:style w:type="paragraph" w:customStyle="1" w:styleId="ChronTableBold">
    <w:name w:val="ChronTableBold"/>
    <w:basedOn w:val="Normal"/>
    <w:rsid w:val="000333A2"/>
    <w:pPr>
      <w:keepNext/>
      <w:spacing w:before="180"/>
    </w:pPr>
    <w:rPr>
      <w:rFonts w:ascii="Arial" w:hAnsi="Arial"/>
      <w:b/>
      <w:sz w:val="18"/>
      <w:lang w:val="en-US"/>
    </w:rPr>
  </w:style>
  <w:style w:type="paragraph" w:customStyle="1" w:styleId="ChronTabledetails">
    <w:name w:val="Chron Table details"/>
    <w:basedOn w:val="Normal"/>
    <w:rsid w:val="000333A2"/>
    <w:rPr>
      <w:rFonts w:ascii="Arial" w:hAnsi="Arial"/>
      <w:sz w:val="18"/>
      <w:lang w:val="en-US"/>
    </w:rPr>
  </w:style>
  <w:style w:type="paragraph" w:customStyle="1" w:styleId="SchAmain">
    <w:name w:val="Sch A main"/>
    <w:basedOn w:val="Amain"/>
    <w:rsid w:val="000812EE"/>
  </w:style>
  <w:style w:type="paragraph" w:customStyle="1" w:styleId="SchApara">
    <w:name w:val="Sch A para"/>
    <w:basedOn w:val="Apara"/>
    <w:rsid w:val="000812EE"/>
  </w:style>
  <w:style w:type="paragraph" w:customStyle="1" w:styleId="SchAsubpara">
    <w:name w:val="Sch A subpara"/>
    <w:basedOn w:val="Asubpara"/>
    <w:rsid w:val="000812EE"/>
  </w:style>
  <w:style w:type="paragraph" w:customStyle="1" w:styleId="SchAsubsubpara">
    <w:name w:val="Sch A subsubpara"/>
    <w:basedOn w:val="Asubsubpara"/>
    <w:rsid w:val="000812EE"/>
  </w:style>
  <w:style w:type="paragraph" w:customStyle="1" w:styleId="TOCOL1">
    <w:name w:val="TOCOL 1"/>
    <w:basedOn w:val="TOC1"/>
    <w:rsid w:val="000812EE"/>
  </w:style>
  <w:style w:type="paragraph" w:customStyle="1" w:styleId="TOCOL2">
    <w:name w:val="TOCOL 2"/>
    <w:basedOn w:val="TOC2"/>
    <w:rsid w:val="000812EE"/>
    <w:pPr>
      <w:keepNext w:val="0"/>
    </w:pPr>
  </w:style>
  <w:style w:type="paragraph" w:customStyle="1" w:styleId="TOCOL3">
    <w:name w:val="TOCOL 3"/>
    <w:basedOn w:val="TOC3"/>
    <w:rsid w:val="000812EE"/>
    <w:pPr>
      <w:keepNext w:val="0"/>
    </w:pPr>
  </w:style>
  <w:style w:type="paragraph" w:customStyle="1" w:styleId="TOCOL4">
    <w:name w:val="TOCOL 4"/>
    <w:basedOn w:val="TOC4"/>
    <w:rsid w:val="000812EE"/>
    <w:pPr>
      <w:keepNext w:val="0"/>
    </w:pPr>
  </w:style>
  <w:style w:type="paragraph" w:customStyle="1" w:styleId="TOCOL5">
    <w:name w:val="TOCOL 5"/>
    <w:basedOn w:val="TOC5"/>
    <w:rsid w:val="000812EE"/>
    <w:pPr>
      <w:tabs>
        <w:tab w:val="left" w:pos="400"/>
      </w:tabs>
    </w:pPr>
  </w:style>
  <w:style w:type="paragraph" w:customStyle="1" w:styleId="TOCOL6">
    <w:name w:val="TOCOL 6"/>
    <w:basedOn w:val="TOC6"/>
    <w:rsid w:val="000812EE"/>
    <w:pPr>
      <w:keepNext w:val="0"/>
    </w:pPr>
  </w:style>
  <w:style w:type="paragraph" w:customStyle="1" w:styleId="TOCOL7">
    <w:name w:val="TOCOL 7"/>
    <w:basedOn w:val="TOC7"/>
    <w:rsid w:val="000812EE"/>
  </w:style>
  <w:style w:type="paragraph" w:customStyle="1" w:styleId="TOCOL8">
    <w:name w:val="TOCOL 8"/>
    <w:basedOn w:val="TOC8"/>
    <w:rsid w:val="000812EE"/>
  </w:style>
  <w:style w:type="paragraph" w:customStyle="1" w:styleId="TOCOL9">
    <w:name w:val="TOCOL 9"/>
    <w:basedOn w:val="TOC9"/>
    <w:rsid w:val="000812EE"/>
    <w:pPr>
      <w:ind w:right="0"/>
    </w:pPr>
  </w:style>
  <w:style w:type="paragraph" w:customStyle="1" w:styleId="TOC10">
    <w:name w:val="TOC 10"/>
    <w:basedOn w:val="TOC5"/>
    <w:rsid w:val="000812EE"/>
    <w:rPr>
      <w:szCs w:val="24"/>
    </w:rPr>
  </w:style>
  <w:style w:type="character" w:customStyle="1" w:styleId="charNotBold">
    <w:name w:val="charNotBold"/>
    <w:basedOn w:val="DefaultParagraphFont"/>
    <w:rsid w:val="000812EE"/>
    <w:rPr>
      <w:rFonts w:ascii="Arial" w:hAnsi="Arial"/>
      <w:sz w:val="20"/>
    </w:rPr>
  </w:style>
  <w:style w:type="paragraph" w:customStyle="1" w:styleId="Billname1">
    <w:name w:val="Billname1"/>
    <w:basedOn w:val="Normal"/>
    <w:rsid w:val="000812EE"/>
    <w:pPr>
      <w:tabs>
        <w:tab w:val="left" w:pos="2400"/>
      </w:tabs>
      <w:spacing w:before="1220"/>
    </w:pPr>
    <w:rPr>
      <w:rFonts w:ascii="Arial" w:hAnsi="Arial"/>
      <w:b/>
      <w:sz w:val="40"/>
    </w:rPr>
  </w:style>
  <w:style w:type="paragraph" w:customStyle="1" w:styleId="TablePara10">
    <w:name w:val="TablePara10"/>
    <w:basedOn w:val="tablepara"/>
    <w:rsid w:val="000812E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812E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812EE"/>
    <w:rPr>
      <w:sz w:val="20"/>
    </w:rPr>
  </w:style>
  <w:style w:type="character" w:customStyle="1" w:styleId="AmainreturnChar">
    <w:name w:val="A main return Char"/>
    <w:basedOn w:val="DefaultParagraphFont"/>
    <w:link w:val="Amainreturn"/>
    <w:rsid w:val="003D4D62"/>
    <w:rPr>
      <w:sz w:val="24"/>
      <w:lang w:eastAsia="en-US"/>
    </w:rPr>
  </w:style>
  <w:style w:type="paragraph" w:styleId="BalloonText">
    <w:name w:val="Balloon Text"/>
    <w:basedOn w:val="Normal"/>
    <w:link w:val="BalloonTextChar"/>
    <w:uiPriority w:val="99"/>
    <w:unhideWhenUsed/>
    <w:rsid w:val="000812EE"/>
    <w:rPr>
      <w:rFonts w:ascii="Tahoma" w:hAnsi="Tahoma" w:cs="Tahoma"/>
      <w:sz w:val="16"/>
      <w:szCs w:val="16"/>
    </w:rPr>
  </w:style>
  <w:style w:type="character" w:customStyle="1" w:styleId="BalloonTextChar">
    <w:name w:val="Balloon Text Char"/>
    <w:basedOn w:val="DefaultParagraphFont"/>
    <w:link w:val="BalloonText"/>
    <w:uiPriority w:val="99"/>
    <w:rsid w:val="000812EE"/>
    <w:rPr>
      <w:rFonts w:ascii="Tahoma" w:hAnsi="Tahoma" w:cs="Tahoma"/>
      <w:sz w:val="16"/>
      <w:szCs w:val="16"/>
      <w:lang w:eastAsia="en-US"/>
    </w:rPr>
  </w:style>
  <w:style w:type="character" w:customStyle="1" w:styleId="FooterChar">
    <w:name w:val="Footer Char"/>
    <w:basedOn w:val="DefaultParagraphFont"/>
    <w:link w:val="Footer"/>
    <w:rsid w:val="000812EE"/>
    <w:rPr>
      <w:rFonts w:ascii="Arial" w:hAnsi="Arial"/>
      <w:sz w:val="18"/>
      <w:lang w:eastAsia="en-US"/>
    </w:rPr>
  </w:style>
  <w:style w:type="paragraph" w:customStyle="1" w:styleId="ShadedSchClauseSymb">
    <w:name w:val="Shaded Sch Clause Symb"/>
    <w:basedOn w:val="ShadedSchClause"/>
    <w:rsid w:val="000812EE"/>
    <w:pPr>
      <w:tabs>
        <w:tab w:val="left" w:pos="0"/>
      </w:tabs>
      <w:ind w:left="975" w:hanging="1457"/>
    </w:pPr>
  </w:style>
  <w:style w:type="paragraph" w:customStyle="1" w:styleId="CoverTextBullet">
    <w:name w:val="CoverTextBullet"/>
    <w:basedOn w:val="CoverText"/>
    <w:qFormat/>
    <w:rsid w:val="000812EE"/>
    <w:pPr>
      <w:numPr>
        <w:numId w:val="5"/>
      </w:numPr>
    </w:pPr>
    <w:rPr>
      <w:color w:val="000000"/>
    </w:rPr>
  </w:style>
  <w:style w:type="paragraph" w:customStyle="1" w:styleId="Actbullet">
    <w:name w:val="Act bullet"/>
    <w:basedOn w:val="Normal"/>
    <w:uiPriority w:val="99"/>
    <w:rsid w:val="000812EE"/>
    <w:pPr>
      <w:numPr>
        <w:numId w:val="22"/>
      </w:numPr>
      <w:tabs>
        <w:tab w:val="left" w:pos="900"/>
      </w:tabs>
      <w:spacing w:before="20"/>
      <w:ind w:right="-60"/>
    </w:pPr>
    <w:rPr>
      <w:rFonts w:ascii="Arial" w:hAnsi="Arial"/>
      <w:sz w:val="18"/>
    </w:rPr>
  </w:style>
  <w:style w:type="paragraph" w:customStyle="1" w:styleId="DetailsNo">
    <w:name w:val="Details No"/>
    <w:basedOn w:val="Actdetails"/>
    <w:uiPriority w:val="99"/>
    <w:rsid w:val="000812EE"/>
    <w:pPr>
      <w:ind w:left="0"/>
    </w:pPr>
    <w:rPr>
      <w:sz w:val="18"/>
    </w:rPr>
  </w:style>
  <w:style w:type="character" w:styleId="Hyperlink">
    <w:name w:val="Hyperlink"/>
    <w:basedOn w:val="DefaultParagraphFont"/>
    <w:uiPriority w:val="99"/>
    <w:unhideWhenUsed/>
    <w:rsid w:val="000812EE"/>
    <w:rPr>
      <w:color w:val="0000FF" w:themeColor="hyperlink"/>
      <w:u w:val="single"/>
    </w:rPr>
  </w:style>
  <w:style w:type="character" w:customStyle="1" w:styleId="aNoteChar1">
    <w:name w:val="aNote Char1"/>
    <w:basedOn w:val="DefaultParagraphFont"/>
    <w:link w:val="aNote"/>
    <w:locked/>
    <w:rsid w:val="007818E9"/>
    <w:rPr>
      <w:lang w:eastAsia="en-US"/>
    </w:rPr>
  </w:style>
  <w:style w:type="character" w:customStyle="1" w:styleId="aDefChar">
    <w:name w:val="aDef Char"/>
    <w:basedOn w:val="DefaultParagraphFont"/>
    <w:link w:val="aDef"/>
    <w:locked/>
    <w:rsid w:val="009D7FB1"/>
    <w:rPr>
      <w:sz w:val="24"/>
      <w:lang w:eastAsia="en-US"/>
    </w:rPr>
  </w:style>
  <w:style w:type="paragraph" w:customStyle="1" w:styleId="01aPreamble">
    <w:name w:val="01aPreamble"/>
    <w:basedOn w:val="Normal"/>
    <w:qFormat/>
    <w:rsid w:val="000812EE"/>
  </w:style>
  <w:style w:type="paragraph" w:customStyle="1" w:styleId="TableBullet">
    <w:name w:val="TableBullet"/>
    <w:basedOn w:val="TableText10"/>
    <w:qFormat/>
    <w:rsid w:val="000812EE"/>
    <w:pPr>
      <w:numPr>
        <w:numId w:val="10"/>
      </w:numPr>
    </w:pPr>
  </w:style>
  <w:style w:type="paragraph" w:customStyle="1" w:styleId="TableNumbered">
    <w:name w:val="TableNumbered"/>
    <w:basedOn w:val="TableText10"/>
    <w:qFormat/>
    <w:rsid w:val="000812EE"/>
    <w:pPr>
      <w:numPr>
        <w:numId w:val="11"/>
      </w:numPr>
    </w:pPr>
  </w:style>
  <w:style w:type="character" w:customStyle="1" w:styleId="charCitHyperlinkItal">
    <w:name w:val="charCitHyperlinkItal"/>
    <w:basedOn w:val="Hyperlink"/>
    <w:uiPriority w:val="1"/>
    <w:rsid w:val="000812EE"/>
    <w:rPr>
      <w:i/>
      <w:color w:val="0000FF" w:themeColor="hyperlink"/>
      <w:u w:val="none"/>
    </w:rPr>
  </w:style>
  <w:style w:type="character" w:customStyle="1" w:styleId="charCitHyperlinkAbbrev">
    <w:name w:val="charCitHyperlinkAbbrev"/>
    <w:basedOn w:val="Hyperlink"/>
    <w:uiPriority w:val="1"/>
    <w:rsid w:val="000812EE"/>
    <w:rPr>
      <w:color w:val="0000FF" w:themeColor="hyperlink"/>
      <w:u w:val="none"/>
    </w:rPr>
  </w:style>
  <w:style w:type="character" w:customStyle="1" w:styleId="Heading3Char">
    <w:name w:val="Heading 3 Char"/>
    <w:aliases w:val="h3 Char,sec Char"/>
    <w:basedOn w:val="DefaultParagraphFont"/>
    <w:link w:val="Heading3"/>
    <w:rsid w:val="000812EE"/>
    <w:rPr>
      <w:b/>
      <w:sz w:val="24"/>
      <w:lang w:eastAsia="en-US"/>
    </w:rPr>
  </w:style>
  <w:style w:type="paragraph" w:customStyle="1" w:styleId="FormRule">
    <w:name w:val="FormRule"/>
    <w:basedOn w:val="Normal"/>
    <w:rsid w:val="000812EE"/>
    <w:pPr>
      <w:pBdr>
        <w:top w:val="single" w:sz="4" w:space="1" w:color="auto"/>
      </w:pBdr>
      <w:spacing w:before="160" w:after="40"/>
      <w:ind w:left="3220" w:right="3260"/>
    </w:pPr>
    <w:rPr>
      <w:sz w:val="8"/>
    </w:rPr>
  </w:style>
  <w:style w:type="paragraph" w:customStyle="1" w:styleId="OldAmdtsEntries">
    <w:name w:val="OldAmdtsEntries"/>
    <w:basedOn w:val="BillBasicHeading"/>
    <w:rsid w:val="000812EE"/>
    <w:pPr>
      <w:tabs>
        <w:tab w:val="clear" w:pos="2600"/>
        <w:tab w:val="left" w:leader="dot" w:pos="2700"/>
      </w:tabs>
      <w:ind w:left="2700" w:hanging="2000"/>
    </w:pPr>
    <w:rPr>
      <w:sz w:val="18"/>
    </w:rPr>
  </w:style>
  <w:style w:type="paragraph" w:customStyle="1" w:styleId="OldAmdt2ndLine">
    <w:name w:val="OldAmdt2ndLine"/>
    <w:basedOn w:val="OldAmdtsEntries"/>
    <w:rsid w:val="000812EE"/>
    <w:pPr>
      <w:tabs>
        <w:tab w:val="left" w:pos="2700"/>
      </w:tabs>
      <w:spacing w:before="0"/>
    </w:pPr>
  </w:style>
  <w:style w:type="paragraph" w:customStyle="1" w:styleId="parainpara">
    <w:name w:val="para in para"/>
    <w:rsid w:val="000812E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812EE"/>
    <w:pPr>
      <w:spacing w:after="60"/>
      <w:ind w:left="2800"/>
    </w:pPr>
    <w:rPr>
      <w:rFonts w:ascii="ACTCrest" w:hAnsi="ACTCrest"/>
      <w:sz w:val="216"/>
    </w:rPr>
  </w:style>
  <w:style w:type="paragraph" w:customStyle="1" w:styleId="AuthorisedBlock">
    <w:name w:val="AuthorisedBlock"/>
    <w:basedOn w:val="Normal"/>
    <w:rsid w:val="000812E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812EE"/>
    <w:rPr>
      <w:b w:val="0"/>
      <w:sz w:val="32"/>
    </w:rPr>
  </w:style>
  <w:style w:type="paragraph" w:customStyle="1" w:styleId="MH1Chapter">
    <w:name w:val="M H1 Chapter"/>
    <w:basedOn w:val="AH1Chapter"/>
    <w:rsid w:val="000812EE"/>
    <w:pPr>
      <w:tabs>
        <w:tab w:val="clear" w:pos="2600"/>
        <w:tab w:val="left" w:pos="2720"/>
      </w:tabs>
      <w:ind w:left="4000" w:hanging="3300"/>
    </w:pPr>
  </w:style>
  <w:style w:type="paragraph" w:customStyle="1" w:styleId="ApprFormHd">
    <w:name w:val="ApprFormHd"/>
    <w:basedOn w:val="Sched-heading"/>
    <w:rsid w:val="000812EE"/>
    <w:pPr>
      <w:ind w:left="0" w:firstLine="0"/>
    </w:pPr>
  </w:style>
  <w:style w:type="paragraph" w:customStyle="1" w:styleId="Actdetailsnote">
    <w:name w:val="Act details note"/>
    <w:basedOn w:val="Actdetails"/>
    <w:uiPriority w:val="99"/>
    <w:rsid w:val="000812EE"/>
    <w:pPr>
      <w:ind w:left="1620" w:right="-60" w:hanging="720"/>
    </w:pPr>
    <w:rPr>
      <w:sz w:val="18"/>
    </w:rPr>
  </w:style>
  <w:style w:type="character" w:customStyle="1" w:styleId="aNoteChar">
    <w:name w:val="aNote Char"/>
    <w:basedOn w:val="DefaultParagraphFont"/>
    <w:locked/>
    <w:rsid w:val="00630B8A"/>
    <w:rPr>
      <w:lang w:eastAsia="en-US"/>
    </w:rPr>
  </w:style>
  <w:style w:type="character" w:customStyle="1" w:styleId="HeaderChar">
    <w:name w:val="Header Char"/>
    <w:basedOn w:val="DefaultParagraphFont"/>
    <w:link w:val="Header"/>
    <w:rsid w:val="006C347E"/>
    <w:rPr>
      <w:sz w:val="24"/>
      <w:lang w:eastAsia="en-US"/>
    </w:rPr>
  </w:style>
  <w:style w:type="character" w:customStyle="1" w:styleId="NewActChar">
    <w:name w:val="New Act Char"/>
    <w:basedOn w:val="DefaultParagraphFont"/>
    <w:link w:val="NewAct"/>
    <w:locked/>
    <w:rsid w:val="001D2FC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5-33/default.asp" TargetMode="External"/><Relationship Id="rId299" Type="http://schemas.openxmlformats.org/officeDocument/2006/relationships/hyperlink" Target="http://www.legislation.act.gov.au/sl/2015-27" TargetMode="External"/><Relationship Id="rId303" Type="http://schemas.openxmlformats.org/officeDocument/2006/relationships/hyperlink" Target="http://www.legislation.act.gov.au/a/2007-40"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4-34/default.asp"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sl/2015-27" TargetMode="External"/><Relationship Id="rId159" Type="http://schemas.openxmlformats.org/officeDocument/2006/relationships/hyperlink" Target="http://www.legislation.act.gov.au/a/2012-42" TargetMode="External"/><Relationship Id="rId324" Type="http://schemas.openxmlformats.org/officeDocument/2006/relationships/hyperlink" Target="http://www.legislation.act.gov.au/sl/2015-40" TargetMode="External"/><Relationship Id="rId345" Type="http://schemas.openxmlformats.org/officeDocument/2006/relationships/theme" Target="theme/theme1.xml"/><Relationship Id="rId170" Type="http://schemas.openxmlformats.org/officeDocument/2006/relationships/hyperlink" Target="http://www.legislation.act.gov.au/sl/2015-27" TargetMode="External"/><Relationship Id="rId191" Type="http://schemas.openxmlformats.org/officeDocument/2006/relationships/hyperlink" Target="http://www.legislation.act.gov.au/sl/2015-27" TargetMode="External"/><Relationship Id="rId205" Type="http://schemas.openxmlformats.org/officeDocument/2006/relationships/hyperlink" Target="http://www.legislation.act.gov.au/sl/2014-22" TargetMode="External"/><Relationship Id="rId226" Type="http://schemas.openxmlformats.org/officeDocument/2006/relationships/hyperlink" Target="http://www.legislation.act.gov.au/sl/2015-27" TargetMode="External"/><Relationship Id="rId247" Type="http://schemas.openxmlformats.org/officeDocument/2006/relationships/hyperlink" Target="http://www.legislation.act.gov.au/sl/2015-27" TargetMode="External"/><Relationship Id="rId107" Type="http://schemas.openxmlformats.org/officeDocument/2006/relationships/hyperlink" Target="http://www.legislation.act.gov.au/a/2012-42" TargetMode="External"/><Relationship Id="rId268" Type="http://schemas.openxmlformats.org/officeDocument/2006/relationships/hyperlink" Target="http://www.legislation.act.gov.au/sl/2015-27" TargetMode="External"/><Relationship Id="rId289" Type="http://schemas.openxmlformats.org/officeDocument/2006/relationships/hyperlink" Target="http://www.legislation.act.gov.au/sl/2015-27"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4-34/default.asp" TargetMode="External"/><Relationship Id="rId53" Type="http://schemas.openxmlformats.org/officeDocument/2006/relationships/hyperlink" Target="http://www.legislation.act.gov.au/a/2004-34/default.asp" TargetMode="External"/><Relationship Id="rId74" Type="http://schemas.openxmlformats.org/officeDocument/2006/relationships/hyperlink" Target="http://www.legislation.act.gov.au/a/2004-34/default.asp" TargetMode="External"/><Relationship Id="rId128" Type="http://schemas.openxmlformats.org/officeDocument/2006/relationships/hyperlink" Target="http://www.legislation.act.gov.au/sl/2015-27" TargetMode="External"/><Relationship Id="rId149" Type="http://schemas.openxmlformats.org/officeDocument/2006/relationships/hyperlink" Target="http://www.legislation.act.gov.au/sl/2015-27" TargetMode="External"/><Relationship Id="rId314" Type="http://schemas.openxmlformats.org/officeDocument/2006/relationships/hyperlink" Target="http://www.legislation.act.gov.au/sl/2014-22" TargetMode="External"/><Relationship Id="rId335" Type="http://schemas.openxmlformats.org/officeDocument/2006/relationships/footer" Target="footer13.xml"/><Relationship Id="rId5" Type="http://schemas.openxmlformats.org/officeDocument/2006/relationships/footnotes" Target="footnotes.xml"/><Relationship Id="rId95" Type="http://schemas.openxmlformats.org/officeDocument/2006/relationships/hyperlink" Target="http://www.legislation.act.gov.au/a/2004-34" TargetMode="External"/><Relationship Id="rId160" Type="http://schemas.openxmlformats.org/officeDocument/2006/relationships/hyperlink" Target="http://www.legislation.act.gov.au/sl/2015-27" TargetMode="External"/><Relationship Id="rId181" Type="http://schemas.openxmlformats.org/officeDocument/2006/relationships/hyperlink" Target="http://www.legislation.act.gov.au/sl/2016-11" TargetMode="External"/><Relationship Id="rId216" Type="http://schemas.openxmlformats.org/officeDocument/2006/relationships/hyperlink" Target="http://www.legislation.act.gov.au/sl/2015-27" TargetMode="External"/><Relationship Id="rId237" Type="http://schemas.openxmlformats.org/officeDocument/2006/relationships/hyperlink" Target="http://www.legislation.act.gov.au/a/2018-45/default.asp" TargetMode="External"/><Relationship Id="rId258" Type="http://schemas.openxmlformats.org/officeDocument/2006/relationships/hyperlink" Target="http://www.legislation.act.gov.au/sl/2015-27" TargetMode="External"/><Relationship Id="rId279" Type="http://schemas.openxmlformats.org/officeDocument/2006/relationships/hyperlink" Target="http://www.legislation.act.gov.au/a/2017-25/default.asp" TargetMode="External"/><Relationship Id="rId22" Type="http://schemas.openxmlformats.org/officeDocument/2006/relationships/header" Target="header4.xml"/><Relationship Id="rId43" Type="http://schemas.openxmlformats.org/officeDocument/2006/relationships/hyperlink" Target="http://www.legislation.act.gov.au/a/2001-14" TargetMode="External"/><Relationship Id="rId64" Type="http://schemas.openxmlformats.org/officeDocument/2006/relationships/image" Target="media/image3.wmf"/><Relationship Id="rId118" Type="http://schemas.openxmlformats.org/officeDocument/2006/relationships/hyperlink" Target="http://www.legislation.act.gov.au/sl/2015-40" TargetMode="External"/><Relationship Id="rId139" Type="http://schemas.openxmlformats.org/officeDocument/2006/relationships/hyperlink" Target="http://www.legislation.act.gov.au/a/2012-42" TargetMode="External"/><Relationship Id="rId290" Type="http://schemas.openxmlformats.org/officeDocument/2006/relationships/hyperlink" Target="http://www.legislation.act.gov.au/a/2012-42" TargetMode="External"/><Relationship Id="rId304" Type="http://schemas.openxmlformats.org/officeDocument/2006/relationships/hyperlink" Target="http://www.legislation.act.gov.au/a/2009-49" TargetMode="External"/><Relationship Id="rId325" Type="http://schemas.openxmlformats.org/officeDocument/2006/relationships/hyperlink" Target="http://www.legislation.act.gov.au/sl/2015-40"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2-42" TargetMode="External"/><Relationship Id="rId171" Type="http://schemas.openxmlformats.org/officeDocument/2006/relationships/hyperlink" Target="http://www.legislation.act.gov.au/sl/2016-11" TargetMode="External"/><Relationship Id="rId192" Type="http://schemas.openxmlformats.org/officeDocument/2006/relationships/hyperlink" Target="http://www.legislation.act.gov.au/sl/2014-22" TargetMode="External"/><Relationship Id="rId206" Type="http://schemas.openxmlformats.org/officeDocument/2006/relationships/hyperlink" Target="http://www.legislation.act.gov.au/sl/2014-22" TargetMode="External"/><Relationship Id="rId227" Type="http://schemas.openxmlformats.org/officeDocument/2006/relationships/hyperlink" Target="http://www.legislation.act.gov.au/sl/2014-22" TargetMode="External"/><Relationship Id="rId248" Type="http://schemas.openxmlformats.org/officeDocument/2006/relationships/hyperlink" Target="http://www.legislation.act.gov.au/sl/2015-27" TargetMode="External"/><Relationship Id="rId269" Type="http://schemas.openxmlformats.org/officeDocument/2006/relationships/hyperlink" Target="http://www.legislation.act.gov.au/sl/2015-27"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4-34/default.asp" TargetMode="External"/><Relationship Id="rId108" Type="http://schemas.openxmlformats.org/officeDocument/2006/relationships/hyperlink" Target="http://www.legislation.act.gov.au/a/2013-19" TargetMode="External"/><Relationship Id="rId129" Type="http://schemas.openxmlformats.org/officeDocument/2006/relationships/hyperlink" Target="http://www.legislation.act.gov.au/a/2012-42" TargetMode="External"/><Relationship Id="rId280" Type="http://schemas.openxmlformats.org/officeDocument/2006/relationships/hyperlink" Target="http://www.legislation.act.gov.au/sl/2014-22" TargetMode="External"/><Relationship Id="rId315" Type="http://schemas.openxmlformats.org/officeDocument/2006/relationships/hyperlink" Target="http://www.legislation.act.gov.au/sl/2014-22" TargetMode="External"/><Relationship Id="rId336" Type="http://schemas.openxmlformats.org/officeDocument/2006/relationships/header" Target="header12.xm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eader" Target="header8.xml"/><Relationship Id="rId140" Type="http://schemas.openxmlformats.org/officeDocument/2006/relationships/hyperlink" Target="http://www.legislation.act.gov.au/sl/2015-27" TargetMode="External"/><Relationship Id="rId161" Type="http://schemas.openxmlformats.org/officeDocument/2006/relationships/hyperlink" Target="http://www.legislation.act.gov.au/a/2012-42" TargetMode="External"/><Relationship Id="rId182" Type="http://schemas.openxmlformats.org/officeDocument/2006/relationships/hyperlink" Target="http://www.legislation.act.gov.au/a/2009-49" TargetMode="External"/><Relationship Id="rId217" Type="http://schemas.openxmlformats.org/officeDocument/2006/relationships/hyperlink" Target="http://www.legislation.act.gov.au/sl/2014-22" TargetMode="External"/><Relationship Id="rId6" Type="http://schemas.openxmlformats.org/officeDocument/2006/relationships/endnotes" Target="endnotes.xml"/><Relationship Id="rId238" Type="http://schemas.openxmlformats.org/officeDocument/2006/relationships/hyperlink" Target="http://www.legislation.act.gov.au/sl/2015-27" TargetMode="External"/><Relationship Id="rId259" Type="http://schemas.openxmlformats.org/officeDocument/2006/relationships/hyperlink" Target="http://www.legislation.act.gov.au/sl/2015-40" TargetMode="External"/><Relationship Id="rId23" Type="http://schemas.openxmlformats.org/officeDocument/2006/relationships/header" Target="header5.xml"/><Relationship Id="rId119" Type="http://schemas.openxmlformats.org/officeDocument/2006/relationships/hyperlink" Target="http://www.legislation.act.gov.au/sl/2016-11" TargetMode="External"/><Relationship Id="rId270" Type="http://schemas.openxmlformats.org/officeDocument/2006/relationships/hyperlink" Target="http://www.legislation.act.gov.au/a/2016-45" TargetMode="External"/><Relationship Id="rId291" Type="http://schemas.openxmlformats.org/officeDocument/2006/relationships/hyperlink" Target="http://www.legislation.act.gov.au/sl/2015-27" TargetMode="External"/><Relationship Id="rId305" Type="http://schemas.openxmlformats.org/officeDocument/2006/relationships/hyperlink" Target="http://www.legislation.act.gov.au/a/2009-49" TargetMode="External"/><Relationship Id="rId326" Type="http://schemas.openxmlformats.org/officeDocument/2006/relationships/hyperlink" Target="http://www.legislation.act.gov.au/sl/2016-11" TargetMode="External"/><Relationship Id="rId44" Type="http://schemas.openxmlformats.org/officeDocument/2006/relationships/hyperlink" Target="http://www.legislation.act.gov.au/a/2001-14" TargetMode="External"/><Relationship Id="rId65" Type="http://schemas.openxmlformats.org/officeDocument/2006/relationships/oleObject" Target="embeddings/oleObject1.bin"/><Relationship Id="rId86" Type="http://schemas.openxmlformats.org/officeDocument/2006/relationships/header" Target="header6.xml"/><Relationship Id="rId130" Type="http://schemas.openxmlformats.org/officeDocument/2006/relationships/hyperlink" Target="http://www.legislation.act.gov.au/sl/2015-27" TargetMode="External"/><Relationship Id="rId151" Type="http://schemas.openxmlformats.org/officeDocument/2006/relationships/hyperlink" Target="http://www.legislation.act.gov.au/sl/2015-27" TargetMode="External"/><Relationship Id="rId172" Type="http://schemas.openxmlformats.org/officeDocument/2006/relationships/hyperlink" Target="http://www.legislation.act.gov.au/a/2009-49" TargetMode="External"/><Relationship Id="rId193" Type="http://schemas.openxmlformats.org/officeDocument/2006/relationships/hyperlink" Target="http://www.legislation.act.gov.au/sl/2014-22" TargetMode="External"/><Relationship Id="rId207" Type="http://schemas.openxmlformats.org/officeDocument/2006/relationships/hyperlink" Target="http://www.legislation.act.gov.au/sl/2015-27" TargetMode="External"/><Relationship Id="rId228" Type="http://schemas.openxmlformats.org/officeDocument/2006/relationships/hyperlink" Target="http://www.legislation.act.gov.au/sl/2015-27" TargetMode="External"/><Relationship Id="rId249" Type="http://schemas.openxmlformats.org/officeDocument/2006/relationships/hyperlink" Target="http://www.legislation.act.gov.au/a/2017-25/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sl/2014-17" TargetMode="External"/><Relationship Id="rId260" Type="http://schemas.openxmlformats.org/officeDocument/2006/relationships/hyperlink" Target="http://www.legislation.act.gov.au/sl/2015-27" TargetMode="External"/><Relationship Id="rId281" Type="http://schemas.openxmlformats.org/officeDocument/2006/relationships/hyperlink" Target="http://www.legislation.act.gov.au/sl/2014-22" TargetMode="External"/><Relationship Id="rId316" Type="http://schemas.openxmlformats.org/officeDocument/2006/relationships/hyperlink" Target="http://www.legislation.act.gov.au/sl/2014-37" TargetMode="External"/><Relationship Id="rId337" Type="http://schemas.openxmlformats.org/officeDocument/2006/relationships/header" Target="header13.xml"/><Relationship Id="rId34" Type="http://schemas.openxmlformats.org/officeDocument/2006/relationships/hyperlink" Target="http://www.legislation.act.gov.au/a/2004-34/default.asp" TargetMode="External"/><Relationship Id="rId55" Type="http://schemas.openxmlformats.org/officeDocument/2006/relationships/hyperlink" Target="http://www.legislation.act.gov.au/a/2004-34/default.asp" TargetMode="External"/><Relationship Id="rId76" Type="http://schemas.openxmlformats.org/officeDocument/2006/relationships/hyperlink" Target="http://www.legislation.act.gov.au/a/2004-34/default.asp" TargetMode="External"/><Relationship Id="rId97" Type="http://schemas.openxmlformats.org/officeDocument/2006/relationships/header" Target="header9.xml"/><Relationship Id="rId120" Type="http://schemas.openxmlformats.org/officeDocument/2006/relationships/hyperlink" Target="http://www.legislation.act.gov.au/a/2016-45/default.asp" TargetMode="External"/><Relationship Id="rId141" Type="http://schemas.openxmlformats.org/officeDocument/2006/relationships/hyperlink" Target="http://www.legislation.act.gov.au/sl/2015-27" TargetMode="External"/><Relationship Id="rId7" Type="http://schemas.openxmlformats.org/officeDocument/2006/relationships/image" Target="media/image1.png"/><Relationship Id="rId162" Type="http://schemas.openxmlformats.org/officeDocument/2006/relationships/hyperlink" Target="http://www.legislation.act.gov.au/sl/2015-27" TargetMode="External"/><Relationship Id="rId183" Type="http://schemas.openxmlformats.org/officeDocument/2006/relationships/hyperlink" Target="http://www.legislation.act.gov.au/sl/2016-11" TargetMode="External"/><Relationship Id="rId218" Type="http://schemas.openxmlformats.org/officeDocument/2006/relationships/hyperlink" Target="http://www.legislation.act.gov.au/sl/2014-22" TargetMode="External"/><Relationship Id="rId239" Type="http://schemas.openxmlformats.org/officeDocument/2006/relationships/hyperlink" Target="http://www.legislation.act.gov.au/sl/2015-27" TargetMode="External"/><Relationship Id="rId250" Type="http://schemas.openxmlformats.org/officeDocument/2006/relationships/hyperlink" Target="http://www.legislation.act.gov.au/a/2017-25/default.asp" TargetMode="External"/><Relationship Id="rId271" Type="http://schemas.openxmlformats.org/officeDocument/2006/relationships/hyperlink" Target="http://www.legislation.act.gov.au/sl/2015-27" TargetMode="External"/><Relationship Id="rId292" Type="http://schemas.openxmlformats.org/officeDocument/2006/relationships/hyperlink" Target="http://www.legislation.act.gov.au/a/2016-45" TargetMode="External"/><Relationship Id="rId306" Type="http://schemas.openxmlformats.org/officeDocument/2006/relationships/hyperlink" Target="http://www.legislation.act.gov.au/a/2011-24"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eader" Target="header7.xml"/><Relationship Id="rId110" Type="http://schemas.openxmlformats.org/officeDocument/2006/relationships/hyperlink" Target="http://www.legislation.act.gov.au/cn/2014-11/default.asp" TargetMode="External"/><Relationship Id="rId131" Type="http://schemas.openxmlformats.org/officeDocument/2006/relationships/hyperlink" Target="http://www.legislation.act.gov.au/a/2012-42" TargetMode="External"/><Relationship Id="rId327" Type="http://schemas.openxmlformats.org/officeDocument/2006/relationships/hyperlink" Target="http://www.legislation.act.gov.au/sl/2016-11" TargetMode="External"/><Relationship Id="rId152" Type="http://schemas.openxmlformats.org/officeDocument/2006/relationships/hyperlink" Target="http://www.legislation.act.gov.au/a/2012-42" TargetMode="External"/><Relationship Id="rId173" Type="http://schemas.openxmlformats.org/officeDocument/2006/relationships/hyperlink" Target="http://www.legislation.act.gov.au/a/2015-33" TargetMode="External"/><Relationship Id="rId194" Type="http://schemas.openxmlformats.org/officeDocument/2006/relationships/hyperlink" Target="http://www.legislation.act.gov.au/sl/2014-22" TargetMode="External"/><Relationship Id="rId208" Type="http://schemas.openxmlformats.org/officeDocument/2006/relationships/hyperlink" Target="http://www.legislation.act.gov.au/sl/2014-17" TargetMode="External"/><Relationship Id="rId229" Type="http://schemas.openxmlformats.org/officeDocument/2006/relationships/hyperlink" Target="http://www.legislation.act.gov.au/sl/2014-22" TargetMode="External"/><Relationship Id="rId240" Type="http://schemas.openxmlformats.org/officeDocument/2006/relationships/hyperlink" Target="http://www.legislation.act.gov.au/sl/2015-27" TargetMode="External"/><Relationship Id="rId261" Type="http://schemas.openxmlformats.org/officeDocument/2006/relationships/hyperlink" Target="http://www.legislation.act.gov.au/sl/2015-40"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4-34/default.asp"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sl/2016-11" TargetMode="External"/><Relationship Id="rId317" Type="http://schemas.openxmlformats.org/officeDocument/2006/relationships/hyperlink" Target="http://www.legislation.act.gov.au/sl/2014-37" TargetMode="External"/><Relationship Id="rId338" Type="http://schemas.openxmlformats.org/officeDocument/2006/relationships/footer" Target="footer14.xml"/><Relationship Id="rId8" Type="http://schemas.openxmlformats.org/officeDocument/2006/relationships/hyperlink" Target="http://www.legislation.act.gov.au/a/2001-14" TargetMode="External"/><Relationship Id="rId98" Type="http://schemas.openxmlformats.org/officeDocument/2006/relationships/footer" Target="footer10.xml"/><Relationship Id="rId121" Type="http://schemas.openxmlformats.org/officeDocument/2006/relationships/hyperlink" Target="http://www.legislation.act.gov.au/a/2017-25/default.asp" TargetMode="External"/><Relationship Id="rId142" Type="http://schemas.openxmlformats.org/officeDocument/2006/relationships/hyperlink" Target="http://www.legislation.act.gov.au/a/2012-42" TargetMode="External"/><Relationship Id="rId163" Type="http://schemas.openxmlformats.org/officeDocument/2006/relationships/hyperlink" Target="http://www.legislation.act.gov.au/a/2012-42" TargetMode="External"/><Relationship Id="rId184" Type="http://schemas.openxmlformats.org/officeDocument/2006/relationships/hyperlink" Target="http://www.legislation.act.gov.au/a/2009-49" TargetMode="External"/><Relationship Id="rId219" Type="http://schemas.openxmlformats.org/officeDocument/2006/relationships/hyperlink" Target="http://www.legislation.act.gov.au/sl/2015-27" TargetMode="External"/><Relationship Id="rId230" Type="http://schemas.openxmlformats.org/officeDocument/2006/relationships/hyperlink" Target="http://www.legislation.act.gov.au/sl/2015-27" TargetMode="External"/><Relationship Id="rId251" Type="http://schemas.openxmlformats.org/officeDocument/2006/relationships/hyperlink" Target="http://www.legislation.act.gov.au/a/2007-40" TargetMode="External"/><Relationship Id="rId25" Type="http://schemas.openxmlformats.org/officeDocument/2006/relationships/footer" Target="footer5.xml"/><Relationship Id="rId46" Type="http://schemas.openxmlformats.org/officeDocument/2006/relationships/hyperlink" Target="http://www.legislation.act.gov.au/a/1999-46/" TargetMode="External"/><Relationship Id="rId67" Type="http://schemas.openxmlformats.org/officeDocument/2006/relationships/hyperlink" Target="http://www.legislation.act.gov.au/a/2004-34/default.asp" TargetMode="External"/><Relationship Id="rId116" Type="http://schemas.openxmlformats.org/officeDocument/2006/relationships/hyperlink" Target="http://www.legislation.act.gov.au/cn/2015-18/default.asp" TargetMode="External"/><Relationship Id="rId137" Type="http://schemas.openxmlformats.org/officeDocument/2006/relationships/hyperlink" Target="http://www.legislation.act.gov.au/a/2012-42" TargetMode="External"/><Relationship Id="rId158" Type="http://schemas.openxmlformats.org/officeDocument/2006/relationships/hyperlink" Target="http://www.legislation.act.gov.au/sl/2015-27" TargetMode="External"/><Relationship Id="rId272" Type="http://schemas.openxmlformats.org/officeDocument/2006/relationships/hyperlink" Target="http://www.legislation.act.gov.au/a/2016-45" TargetMode="External"/><Relationship Id="rId293" Type="http://schemas.openxmlformats.org/officeDocument/2006/relationships/hyperlink" Target="http://www.legislation.act.gov.au/sl/2016-11" TargetMode="External"/><Relationship Id="rId302" Type="http://schemas.openxmlformats.org/officeDocument/2006/relationships/hyperlink" Target="http://www.legislation.act.gov.au/a/2007-40" TargetMode="External"/><Relationship Id="rId307" Type="http://schemas.openxmlformats.org/officeDocument/2006/relationships/hyperlink" Target="http://www.legislation.act.gov.au/a/2011-24" TargetMode="External"/><Relationship Id="rId323" Type="http://schemas.openxmlformats.org/officeDocument/2006/relationships/hyperlink" Target="http://www.legislation.act.gov.au/a/2015-33/default.asp" TargetMode="External"/><Relationship Id="rId328" Type="http://schemas.openxmlformats.org/officeDocument/2006/relationships/hyperlink" Target="http://www.legislation.act.gov.au/a/2016-45/default.asp" TargetMode="External"/><Relationship Id="rId344"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yperlink" Target="http://www.legislation.act.gov.au/a/2004-34/default.asp" TargetMode="External"/><Relationship Id="rId62" Type="http://schemas.openxmlformats.org/officeDocument/2006/relationships/hyperlink" Target="https://www.legislation.act.gov.au/a/2004-34/" TargetMode="External"/><Relationship Id="rId83" Type="http://schemas.openxmlformats.org/officeDocument/2006/relationships/hyperlink" Target="http://www.legislation.act.gov.au/a/2004-34/default.asp" TargetMode="External"/><Relationship Id="rId88" Type="http://schemas.openxmlformats.org/officeDocument/2006/relationships/footer" Target="footer7.xml"/><Relationship Id="rId111" Type="http://schemas.openxmlformats.org/officeDocument/2006/relationships/hyperlink" Target="http://www.legislation.act.gov.au/sl/2014-22" TargetMode="External"/><Relationship Id="rId132" Type="http://schemas.openxmlformats.org/officeDocument/2006/relationships/hyperlink" Target="http://www.legislation.act.gov.au/a/2013-19" TargetMode="External"/><Relationship Id="rId153" Type="http://schemas.openxmlformats.org/officeDocument/2006/relationships/hyperlink" Target="http://www.legislation.act.gov.au/sl/2015-27" TargetMode="External"/><Relationship Id="rId174" Type="http://schemas.openxmlformats.org/officeDocument/2006/relationships/hyperlink" Target="http://www.legislation.act.gov.au/sl/2016-11" TargetMode="External"/><Relationship Id="rId179" Type="http://schemas.openxmlformats.org/officeDocument/2006/relationships/hyperlink" Target="http://www.legislation.act.gov.au/sl/2016-11" TargetMode="External"/><Relationship Id="rId195" Type="http://schemas.openxmlformats.org/officeDocument/2006/relationships/hyperlink" Target="http://www.legislation.act.gov.au/sl/2014-22" TargetMode="External"/><Relationship Id="rId209" Type="http://schemas.openxmlformats.org/officeDocument/2006/relationships/hyperlink" Target="http://www.legislation.act.gov.au/sl/2014-22" TargetMode="External"/><Relationship Id="rId190" Type="http://schemas.openxmlformats.org/officeDocument/2006/relationships/hyperlink" Target="http://www.legislation.act.gov.au/sl/2015-27" TargetMode="External"/><Relationship Id="rId204" Type="http://schemas.openxmlformats.org/officeDocument/2006/relationships/hyperlink" Target="http://www.legislation.act.gov.au/sl/2015-27" TargetMode="External"/><Relationship Id="rId220" Type="http://schemas.openxmlformats.org/officeDocument/2006/relationships/hyperlink" Target="http://www.legislation.act.gov.au/a/2018-45/default.asp" TargetMode="External"/><Relationship Id="rId225" Type="http://schemas.openxmlformats.org/officeDocument/2006/relationships/hyperlink" Target="http://www.legislation.act.gov.au/sl/2014-22" TargetMode="External"/><Relationship Id="rId241" Type="http://schemas.openxmlformats.org/officeDocument/2006/relationships/hyperlink" Target="http://www.legislation.act.gov.au/sl/2015-27" TargetMode="External"/><Relationship Id="rId246" Type="http://schemas.openxmlformats.org/officeDocument/2006/relationships/hyperlink" Target="http://www.legislation.act.gov.au/sl/2015-27" TargetMode="External"/><Relationship Id="rId267" Type="http://schemas.openxmlformats.org/officeDocument/2006/relationships/hyperlink" Target="http://www.legislation.act.gov.au/sl/2015-1" TargetMode="External"/><Relationship Id="rId288" Type="http://schemas.openxmlformats.org/officeDocument/2006/relationships/hyperlink" Target="http://www.legislation.act.gov.au/sl/2016-11"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4-34/default.asp" TargetMode="External"/><Relationship Id="rId57" Type="http://schemas.openxmlformats.org/officeDocument/2006/relationships/hyperlink" Target="http://www.legislation.act.gov.au/a/2004-34/default.asp" TargetMode="External"/><Relationship Id="rId106" Type="http://schemas.openxmlformats.org/officeDocument/2006/relationships/hyperlink" Target="http://www.legislation.act.gov.au/a/2011-24" TargetMode="External"/><Relationship Id="rId127" Type="http://schemas.openxmlformats.org/officeDocument/2006/relationships/hyperlink" Target="http://www.legislation.act.gov.au/sl/2014-22" TargetMode="External"/><Relationship Id="rId262" Type="http://schemas.openxmlformats.org/officeDocument/2006/relationships/hyperlink" Target="http://www.legislation.act.gov.au/sl/2015-27" TargetMode="External"/><Relationship Id="rId283" Type="http://schemas.openxmlformats.org/officeDocument/2006/relationships/hyperlink" Target="http://www.legislation.act.gov.au/sl/2015-27" TargetMode="External"/><Relationship Id="rId313" Type="http://schemas.openxmlformats.org/officeDocument/2006/relationships/hyperlink" Target="http://www.legislation.act.gov.au/sl/2014-17/default.asp" TargetMode="External"/><Relationship Id="rId318" Type="http://schemas.openxmlformats.org/officeDocument/2006/relationships/hyperlink" Target="http://www.legislation.act.gov.au/sl/2015-1/default.asp" TargetMode="External"/><Relationship Id="rId339" Type="http://schemas.openxmlformats.org/officeDocument/2006/relationships/footer" Target="footer15.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34/default.asp"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footer" Target="footer11.xm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18-45/default.asp" TargetMode="External"/><Relationship Id="rId143" Type="http://schemas.openxmlformats.org/officeDocument/2006/relationships/hyperlink" Target="http://www.legislation.act.gov.au/sl/2015-27" TargetMode="External"/><Relationship Id="rId148" Type="http://schemas.openxmlformats.org/officeDocument/2006/relationships/hyperlink" Target="http://www.legislation.act.gov.au/a/2012-42" TargetMode="External"/><Relationship Id="rId164" Type="http://schemas.openxmlformats.org/officeDocument/2006/relationships/hyperlink" Target="http://www.legislation.act.gov.au/sl/2015-27" TargetMode="External"/><Relationship Id="rId169" Type="http://schemas.openxmlformats.org/officeDocument/2006/relationships/hyperlink" Target="http://www.legislation.act.gov.au/a/2012-42" TargetMode="External"/><Relationship Id="rId185" Type="http://schemas.openxmlformats.org/officeDocument/2006/relationships/hyperlink" Target="http://www.legislation.act.gov.au/sl/2016-11" TargetMode="External"/><Relationship Id="rId334"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9-49" TargetMode="External"/><Relationship Id="rId210" Type="http://schemas.openxmlformats.org/officeDocument/2006/relationships/hyperlink" Target="http://www.legislation.act.gov.au/sl/2014-22" TargetMode="External"/><Relationship Id="rId215" Type="http://schemas.openxmlformats.org/officeDocument/2006/relationships/hyperlink" Target="http://www.legislation.act.gov.au/sl/2014-22" TargetMode="External"/><Relationship Id="rId236" Type="http://schemas.openxmlformats.org/officeDocument/2006/relationships/hyperlink" Target="http://www.legislation.act.gov.au/sl/2015-27" TargetMode="External"/><Relationship Id="rId257" Type="http://schemas.openxmlformats.org/officeDocument/2006/relationships/hyperlink" Target="http://www.legislation.act.gov.au/a/2018-45/default.asp" TargetMode="External"/><Relationship Id="rId278" Type="http://schemas.openxmlformats.org/officeDocument/2006/relationships/hyperlink" Target="http://www.legislation.act.gov.au/a/2016-45" TargetMode="External"/><Relationship Id="rId26" Type="http://schemas.openxmlformats.org/officeDocument/2006/relationships/footer" Target="footer6.xml"/><Relationship Id="rId231" Type="http://schemas.openxmlformats.org/officeDocument/2006/relationships/hyperlink" Target="http://www.legislation.act.gov.au/sl/2015-27" TargetMode="External"/><Relationship Id="rId252" Type="http://schemas.openxmlformats.org/officeDocument/2006/relationships/hyperlink" Target="http://www.legislation.act.gov.au/a/2007-40" TargetMode="External"/><Relationship Id="rId273" Type="http://schemas.openxmlformats.org/officeDocument/2006/relationships/hyperlink" Target="http://www.legislation.act.gov.au/sl/2015-27" TargetMode="External"/><Relationship Id="rId294" Type="http://schemas.openxmlformats.org/officeDocument/2006/relationships/hyperlink" Target="http://www.legislation.act.gov.au/sl/2014-22" TargetMode="External"/><Relationship Id="rId308" Type="http://schemas.openxmlformats.org/officeDocument/2006/relationships/hyperlink" Target="http://www.legislation.act.gov.au/a/2012-42" TargetMode="External"/><Relationship Id="rId329" Type="http://schemas.openxmlformats.org/officeDocument/2006/relationships/hyperlink" Target="http://www.legislation.act.gov.au/a/2016-45/default.asp"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sl/2002-28" TargetMode="External"/><Relationship Id="rId89" Type="http://schemas.openxmlformats.org/officeDocument/2006/relationships/footer" Target="footer8.xml"/><Relationship Id="rId112" Type="http://schemas.openxmlformats.org/officeDocument/2006/relationships/hyperlink" Target="http://www.legislation.act.gov.au/sl/2014-37" TargetMode="External"/><Relationship Id="rId133" Type="http://schemas.openxmlformats.org/officeDocument/2006/relationships/hyperlink" Target="http://www.legislation.act.gov.au/sl/2015-27" TargetMode="External"/><Relationship Id="rId154" Type="http://schemas.openxmlformats.org/officeDocument/2006/relationships/hyperlink" Target="http://www.legislation.act.gov.au/a/2012-42" TargetMode="External"/><Relationship Id="rId175" Type="http://schemas.openxmlformats.org/officeDocument/2006/relationships/hyperlink" Target="http://www.legislation.act.gov.au/a/2015-33" TargetMode="External"/><Relationship Id="rId340" Type="http://schemas.openxmlformats.org/officeDocument/2006/relationships/header" Target="header14.xml"/><Relationship Id="rId196" Type="http://schemas.openxmlformats.org/officeDocument/2006/relationships/hyperlink" Target="http://www.legislation.act.gov.au/sl/2015-27" TargetMode="External"/><Relationship Id="rId200" Type="http://schemas.openxmlformats.org/officeDocument/2006/relationships/hyperlink" Target="http://www.legislation.act.gov.au/sl/2014-22" TargetMode="External"/><Relationship Id="rId16" Type="http://schemas.openxmlformats.org/officeDocument/2006/relationships/header" Target="header1.xml"/><Relationship Id="rId221" Type="http://schemas.openxmlformats.org/officeDocument/2006/relationships/hyperlink" Target="http://www.legislation.act.gov.au/sl/2014-22" TargetMode="External"/><Relationship Id="rId242" Type="http://schemas.openxmlformats.org/officeDocument/2006/relationships/hyperlink" Target="http://www.legislation.act.gov.au/sl/2015-27" TargetMode="External"/><Relationship Id="rId263" Type="http://schemas.openxmlformats.org/officeDocument/2006/relationships/hyperlink" Target="http://www.legislation.act.gov.au/a/2011-24" TargetMode="External"/><Relationship Id="rId284" Type="http://schemas.openxmlformats.org/officeDocument/2006/relationships/hyperlink" Target="http://www.legislation.act.gov.au/sl/2014-22" TargetMode="External"/><Relationship Id="rId319" Type="http://schemas.openxmlformats.org/officeDocument/2006/relationships/hyperlink" Target="http://www.legislation.act.gov.au/sl/2015-1/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4-34" TargetMode="External"/><Relationship Id="rId123" Type="http://schemas.openxmlformats.org/officeDocument/2006/relationships/hyperlink" Target="http://www.legislation.act.gov.au/sl/2015-27" TargetMode="External"/><Relationship Id="rId144" Type="http://schemas.openxmlformats.org/officeDocument/2006/relationships/hyperlink" Target="http://www.legislation.act.gov.au/sl/2015-27" TargetMode="External"/><Relationship Id="rId330" Type="http://schemas.openxmlformats.org/officeDocument/2006/relationships/hyperlink" Target="http://www.legislation.act.gov.au/a/2017-25/default.asp" TargetMode="External"/><Relationship Id="rId90" Type="http://schemas.openxmlformats.org/officeDocument/2006/relationships/footer" Target="footer9.xml"/><Relationship Id="rId165" Type="http://schemas.openxmlformats.org/officeDocument/2006/relationships/hyperlink" Target="http://www.legislation.act.gov.au/sl/2016-11" TargetMode="External"/><Relationship Id="rId186" Type="http://schemas.openxmlformats.org/officeDocument/2006/relationships/hyperlink" Target="http://www.legislation.act.gov.au/a/2009-49" TargetMode="External"/><Relationship Id="rId211" Type="http://schemas.openxmlformats.org/officeDocument/2006/relationships/hyperlink" Target="http://www.legislation.act.gov.au/sl/2014-22" TargetMode="External"/><Relationship Id="rId232" Type="http://schemas.openxmlformats.org/officeDocument/2006/relationships/hyperlink" Target="http://www.legislation.act.gov.au/sl/2015-27" TargetMode="External"/><Relationship Id="rId253" Type="http://schemas.openxmlformats.org/officeDocument/2006/relationships/hyperlink" Target="http://www.legislation.act.gov.au/sl/2015-27" TargetMode="External"/><Relationship Id="rId274" Type="http://schemas.openxmlformats.org/officeDocument/2006/relationships/hyperlink" Target="http://www.legislation.act.gov.au/a/2016-45" TargetMode="External"/><Relationship Id="rId295" Type="http://schemas.openxmlformats.org/officeDocument/2006/relationships/hyperlink" Target="http://www.legislation.act.gov.au/sl/2014-22" TargetMode="External"/><Relationship Id="rId309" Type="http://schemas.openxmlformats.org/officeDocument/2006/relationships/hyperlink" Target="http://www.legislation.act.gov.au/a/2012-42"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0" TargetMode="External"/><Relationship Id="rId69" Type="http://schemas.openxmlformats.org/officeDocument/2006/relationships/hyperlink" Target="http://www.legislation.act.gov.au/a/2004-34/default.asp" TargetMode="External"/><Relationship Id="rId113" Type="http://schemas.openxmlformats.org/officeDocument/2006/relationships/hyperlink" Target="http://www.legislation.act.gov.au/sl/2015-1" TargetMode="External"/><Relationship Id="rId134" Type="http://schemas.openxmlformats.org/officeDocument/2006/relationships/hyperlink" Target="http://www.legislation.act.gov.au/a/2016-45" TargetMode="External"/><Relationship Id="rId320" Type="http://schemas.openxmlformats.org/officeDocument/2006/relationships/hyperlink" Target="http://www.legislation.act.gov.au/sl/2015-27"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sl/2014-22" TargetMode="External"/><Relationship Id="rId176" Type="http://schemas.openxmlformats.org/officeDocument/2006/relationships/hyperlink" Target="http://www.legislation.act.gov.au/sl/2016-11" TargetMode="External"/><Relationship Id="rId197" Type="http://schemas.openxmlformats.org/officeDocument/2006/relationships/hyperlink" Target="http://www.legislation.act.gov.au/sl/2014-22" TargetMode="External"/><Relationship Id="rId341" Type="http://schemas.openxmlformats.org/officeDocument/2006/relationships/footer" Target="footer16.xml"/><Relationship Id="rId201" Type="http://schemas.openxmlformats.org/officeDocument/2006/relationships/hyperlink" Target="http://www.legislation.act.gov.au/sl/2015-27" TargetMode="External"/><Relationship Id="rId222" Type="http://schemas.openxmlformats.org/officeDocument/2006/relationships/hyperlink" Target="http://www.legislation.act.gov.au/sl/2014-22" TargetMode="External"/><Relationship Id="rId243" Type="http://schemas.openxmlformats.org/officeDocument/2006/relationships/hyperlink" Target="http://www.legislation.act.gov.au/sl/2015-27" TargetMode="External"/><Relationship Id="rId264" Type="http://schemas.openxmlformats.org/officeDocument/2006/relationships/hyperlink" Target="http://www.legislation.act.gov.au/sl/2014-22" TargetMode="External"/><Relationship Id="rId285" Type="http://schemas.openxmlformats.org/officeDocument/2006/relationships/hyperlink" Target="http://www.legislation.act.gov.au/sl/2014-22" TargetMode="External"/><Relationship Id="rId17" Type="http://schemas.openxmlformats.org/officeDocument/2006/relationships/header" Target="header2.xml"/><Relationship Id="rId38" Type="http://schemas.openxmlformats.org/officeDocument/2006/relationships/hyperlink" Target="http://www.legislation.act.gov.au/a/2004-34/default.asp" TargetMode="External"/><Relationship Id="rId59" Type="http://schemas.openxmlformats.org/officeDocument/2006/relationships/hyperlink" Target="http://www.legislation.act.gov.au/sl/2002-28" TargetMode="External"/><Relationship Id="rId103" Type="http://schemas.openxmlformats.org/officeDocument/2006/relationships/hyperlink" Target="http://www.legislation.act.gov.au/cn/2004-14/default.asp" TargetMode="External"/><Relationship Id="rId124" Type="http://schemas.openxmlformats.org/officeDocument/2006/relationships/hyperlink" Target="http://www.legislation.act.gov.au/sl/2015-27" TargetMode="External"/><Relationship Id="rId310" Type="http://schemas.openxmlformats.org/officeDocument/2006/relationships/hyperlink" Target="http://www.legislation.act.gov.au/a/2013-19" TargetMode="External"/><Relationship Id="rId70" Type="http://schemas.openxmlformats.org/officeDocument/2006/relationships/hyperlink" Target="http://www.legislation.act.gov.au/a/2004-34/default.asp"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2-42" TargetMode="External"/><Relationship Id="rId166" Type="http://schemas.openxmlformats.org/officeDocument/2006/relationships/hyperlink" Target="http://www.legislation.act.gov.au/sl/2016-11" TargetMode="External"/><Relationship Id="rId187" Type="http://schemas.openxmlformats.org/officeDocument/2006/relationships/hyperlink" Target="http://www.legislation.act.gov.au/sl/2016-11" TargetMode="External"/><Relationship Id="rId331" Type="http://schemas.openxmlformats.org/officeDocument/2006/relationships/hyperlink" Target="http://www.legislation.act.gov.au/a/2017-25/default.asp" TargetMode="External"/><Relationship Id="rId1" Type="http://schemas.openxmlformats.org/officeDocument/2006/relationships/numbering" Target="numbering.xml"/><Relationship Id="rId212" Type="http://schemas.openxmlformats.org/officeDocument/2006/relationships/hyperlink" Target="http://www.legislation.act.gov.au/sl/2015-27" TargetMode="External"/><Relationship Id="rId233" Type="http://schemas.openxmlformats.org/officeDocument/2006/relationships/hyperlink" Target="http://www.legislation.act.gov.au/sl/2015-27" TargetMode="External"/><Relationship Id="rId254" Type="http://schemas.openxmlformats.org/officeDocument/2006/relationships/hyperlink" Target="http://www.legislation.act.gov.au/a/2016-45"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sl/2015-27" TargetMode="External"/><Relationship Id="rId275" Type="http://schemas.openxmlformats.org/officeDocument/2006/relationships/hyperlink" Target="http://www.legislation.act.gov.au/a/2012-42" TargetMode="External"/><Relationship Id="rId296" Type="http://schemas.openxmlformats.org/officeDocument/2006/relationships/hyperlink" Target="http://www.legislation.act.gov.au/sl/2014-22" TargetMode="External"/><Relationship Id="rId300" Type="http://schemas.openxmlformats.org/officeDocument/2006/relationships/hyperlink" Target="http://www.legislation.act.gov.au/sl/2015-27"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4-34/default.asp" TargetMode="External"/><Relationship Id="rId135" Type="http://schemas.openxmlformats.org/officeDocument/2006/relationships/hyperlink" Target="http://www.legislation.act.gov.au/sl/2014-22" TargetMode="External"/><Relationship Id="rId156" Type="http://schemas.openxmlformats.org/officeDocument/2006/relationships/hyperlink" Target="http://www.legislation.act.gov.au/sl/2015-27" TargetMode="External"/><Relationship Id="rId177" Type="http://schemas.openxmlformats.org/officeDocument/2006/relationships/hyperlink" Target="http://www.legislation.act.gov.au/a/2009-49" TargetMode="External"/><Relationship Id="rId198" Type="http://schemas.openxmlformats.org/officeDocument/2006/relationships/hyperlink" Target="http://www.legislation.act.gov.au/sl/2014-22" TargetMode="External"/><Relationship Id="rId321" Type="http://schemas.openxmlformats.org/officeDocument/2006/relationships/hyperlink" Target="http://www.legislation.act.gov.au/sl/2015-27" TargetMode="External"/><Relationship Id="rId342" Type="http://schemas.openxmlformats.org/officeDocument/2006/relationships/header" Target="header15.xml"/><Relationship Id="rId202" Type="http://schemas.openxmlformats.org/officeDocument/2006/relationships/hyperlink" Target="http://www.legislation.act.gov.au/sl/2014-22" TargetMode="External"/><Relationship Id="rId223" Type="http://schemas.openxmlformats.org/officeDocument/2006/relationships/hyperlink" Target="http://www.legislation.act.gov.au/sl/2014-22" TargetMode="External"/><Relationship Id="rId244" Type="http://schemas.openxmlformats.org/officeDocument/2006/relationships/hyperlink" Target="http://www.legislation.act.gov.au/sl/2015-27" TargetMode="External"/><Relationship Id="rId18" Type="http://schemas.openxmlformats.org/officeDocument/2006/relationships/footer" Target="footer1.xml"/><Relationship Id="rId39" Type="http://schemas.openxmlformats.org/officeDocument/2006/relationships/image" Target="media/image2.wmf"/><Relationship Id="rId265" Type="http://schemas.openxmlformats.org/officeDocument/2006/relationships/hyperlink" Target="http://www.legislation.act.gov.au/sl/2014-22" TargetMode="External"/><Relationship Id="rId286" Type="http://schemas.openxmlformats.org/officeDocument/2006/relationships/hyperlink" Target="http://www.legislation.act.gov.au/a/2012-42"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7-40" TargetMode="External"/><Relationship Id="rId125" Type="http://schemas.openxmlformats.org/officeDocument/2006/relationships/hyperlink" Target="http://www.legislation.act.gov.au/a/2012-42" TargetMode="External"/><Relationship Id="rId146" Type="http://schemas.openxmlformats.org/officeDocument/2006/relationships/hyperlink" Target="http://www.legislation.act.gov.au/sl/2015-27" TargetMode="External"/><Relationship Id="rId167" Type="http://schemas.openxmlformats.org/officeDocument/2006/relationships/hyperlink" Target="http://www.legislation.act.gov.au/sl/2016-11" TargetMode="External"/><Relationship Id="rId188" Type="http://schemas.openxmlformats.org/officeDocument/2006/relationships/hyperlink" Target="http://www.legislation.act.gov.au/sl/2014-22" TargetMode="External"/><Relationship Id="rId311" Type="http://schemas.openxmlformats.org/officeDocument/2006/relationships/hyperlink" Target="http://www.legislation.act.gov.au/a/2013-19" TargetMode="External"/><Relationship Id="rId332" Type="http://schemas.openxmlformats.org/officeDocument/2006/relationships/header" Target="header10.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sl/2014-22" TargetMode="External"/><Relationship Id="rId234" Type="http://schemas.openxmlformats.org/officeDocument/2006/relationships/hyperlink" Target="http://www.legislation.act.gov.au/sl/2015-27"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8-45/default.asp" TargetMode="External"/><Relationship Id="rId276" Type="http://schemas.openxmlformats.org/officeDocument/2006/relationships/hyperlink" Target="http://www.legislation.act.gov.au/sl/2015-27" TargetMode="External"/><Relationship Id="rId297" Type="http://schemas.openxmlformats.org/officeDocument/2006/relationships/hyperlink" Target="http://www.legislation.act.gov.au/sl/2014-22" TargetMode="External"/><Relationship Id="rId40" Type="http://schemas.openxmlformats.org/officeDocument/2006/relationships/hyperlink" Target="http://www.legislation.act.gov.au/a/2004-34/default.asp" TargetMode="External"/><Relationship Id="rId115" Type="http://schemas.openxmlformats.org/officeDocument/2006/relationships/hyperlink" Target="http://www.legislation.act.gov.au/a/2015-21/default.asp" TargetMode="External"/><Relationship Id="rId136" Type="http://schemas.openxmlformats.org/officeDocument/2006/relationships/hyperlink" Target="http://www.legislation.act.gov.au/sl/2015-27" TargetMode="External"/><Relationship Id="rId157" Type="http://schemas.openxmlformats.org/officeDocument/2006/relationships/hyperlink" Target="http://www.legislation.act.gov.au/a/2012-42" TargetMode="External"/><Relationship Id="rId178" Type="http://schemas.openxmlformats.org/officeDocument/2006/relationships/hyperlink" Target="http://www.legislation.act.gov.au/a/2009-49" TargetMode="External"/><Relationship Id="rId301" Type="http://schemas.openxmlformats.org/officeDocument/2006/relationships/hyperlink" Target="http://www.legislation.act.gov.au/sl/2016-11" TargetMode="External"/><Relationship Id="rId322" Type="http://schemas.openxmlformats.org/officeDocument/2006/relationships/hyperlink" Target="http://www.legislation.act.gov.au/a/2015-33/default.asp" TargetMode="External"/><Relationship Id="rId343" Type="http://schemas.openxmlformats.org/officeDocument/2006/relationships/footer" Target="footer17.xml"/><Relationship Id="rId61" Type="http://schemas.openxmlformats.org/officeDocument/2006/relationships/hyperlink" Target="http://www.legislation.act.gov.au/a/1964-13" TargetMode="External"/><Relationship Id="rId82" Type="http://schemas.openxmlformats.org/officeDocument/2006/relationships/hyperlink" Target="http://www.legislation.act.gov.au/a/2004-34/default.asp" TargetMode="External"/><Relationship Id="rId199" Type="http://schemas.openxmlformats.org/officeDocument/2006/relationships/hyperlink" Target="http://www.legislation.act.gov.au/sl/2014-22" TargetMode="External"/><Relationship Id="rId203" Type="http://schemas.openxmlformats.org/officeDocument/2006/relationships/hyperlink" Target="http://www.legislation.act.gov.au/sl/2014-22" TargetMode="External"/><Relationship Id="rId19" Type="http://schemas.openxmlformats.org/officeDocument/2006/relationships/footer" Target="footer2.xml"/><Relationship Id="rId224" Type="http://schemas.openxmlformats.org/officeDocument/2006/relationships/hyperlink" Target="http://www.legislation.act.gov.au/a/2018-45/default.asp" TargetMode="External"/><Relationship Id="rId245" Type="http://schemas.openxmlformats.org/officeDocument/2006/relationships/hyperlink" Target="http://www.legislation.act.gov.au/sl/2015-27" TargetMode="External"/><Relationship Id="rId266" Type="http://schemas.openxmlformats.org/officeDocument/2006/relationships/hyperlink" Target="http://www.legislation.act.gov.au/sl/2014-37" TargetMode="External"/><Relationship Id="rId287" Type="http://schemas.openxmlformats.org/officeDocument/2006/relationships/hyperlink" Target="http://www.legislation.act.gov.au/sl/2015-27"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9-49" TargetMode="External"/><Relationship Id="rId126" Type="http://schemas.openxmlformats.org/officeDocument/2006/relationships/hyperlink" Target="http://www.legislation.act.gov.au/a/2012-42" TargetMode="External"/><Relationship Id="rId147" Type="http://schemas.openxmlformats.org/officeDocument/2006/relationships/hyperlink" Target="http://www.legislation.act.gov.au/sl/2015-27" TargetMode="External"/><Relationship Id="rId168" Type="http://schemas.openxmlformats.org/officeDocument/2006/relationships/hyperlink" Target="http://www.legislation.act.gov.au/sl/2016-11" TargetMode="External"/><Relationship Id="rId312" Type="http://schemas.openxmlformats.org/officeDocument/2006/relationships/hyperlink" Target="http://www.legislation.act.gov.au/sl/2014-17/default.asp" TargetMode="External"/><Relationship Id="rId333" Type="http://schemas.openxmlformats.org/officeDocument/2006/relationships/header" Target="header11.xml"/><Relationship Id="rId51" Type="http://schemas.openxmlformats.org/officeDocument/2006/relationships/hyperlink" Target="http://www.legislation.act.gov.au/a/2001-10"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4-34" TargetMode="External"/><Relationship Id="rId189" Type="http://schemas.openxmlformats.org/officeDocument/2006/relationships/hyperlink" Target="http://www.legislation.act.gov.au/sl/2016-11" TargetMode="External"/><Relationship Id="rId3" Type="http://schemas.openxmlformats.org/officeDocument/2006/relationships/settings" Target="settings.xml"/><Relationship Id="rId214" Type="http://schemas.openxmlformats.org/officeDocument/2006/relationships/hyperlink" Target="http://www.legislation.act.gov.au/a/2018-45/default.asp" TargetMode="External"/><Relationship Id="rId235" Type="http://schemas.openxmlformats.org/officeDocument/2006/relationships/hyperlink" Target="http://www.legislation.act.gov.au/sl/2015-27" TargetMode="External"/><Relationship Id="rId256" Type="http://schemas.openxmlformats.org/officeDocument/2006/relationships/hyperlink" Target="http://www.legislation.act.gov.au/sl/2015-27" TargetMode="External"/><Relationship Id="rId277" Type="http://schemas.openxmlformats.org/officeDocument/2006/relationships/hyperlink" Target="http://www.legislation.act.gov.au/a/2015-33" TargetMode="External"/><Relationship Id="rId298" Type="http://schemas.openxmlformats.org/officeDocument/2006/relationships/hyperlink" Target="http://www.legislation.act.gov.au/sl/201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14753</Words>
  <Characters>73267</Characters>
  <Application>Microsoft Office Word</Application>
  <DocSecurity>0</DocSecurity>
  <Lines>2104</Lines>
  <Paragraphs>1380</Paragraphs>
  <ScaleCrop>false</ScaleCrop>
  <HeadingPairs>
    <vt:vector size="2" baseType="variant">
      <vt:variant>
        <vt:lpstr>Title</vt:lpstr>
      </vt:variant>
      <vt:variant>
        <vt:i4>1</vt:i4>
      </vt:variant>
    </vt:vector>
  </HeadingPairs>
  <TitlesOfParts>
    <vt:vector size="1" baseType="lpstr">
      <vt:lpstr>Gaming Machine Regulation 2004</vt:lpstr>
    </vt:vector>
  </TitlesOfParts>
  <Manager>Regulation</Manager>
  <Company>Section</Company>
  <LinksUpToDate>false</LinksUpToDate>
  <CharactersWithSpaces>87134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Regulation 2004</dc:title>
  <dc:subject>Amendment</dc:subject>
  <dc:creator>Ann Moxon</dc:creator>
  <cp:keywords>R17</cp:keywords>
  <dc:description/>
  <cp:lastModifiedBy>Moxon, KarenL</cp:lastModifiedBy>
  <cp:revision>4</cp:revision>
  <cp:lastPrinted>2018-12-09T23:02:00Z</cp:lastPrinted>
  <dcterms:created xsi:type="dcterms:W3CDTF">2019-06-28T04:39:00Z</dcterms:created>
  <dcterms:modified xsi:type="dcterms:W3CDTF">2019-06-28T04:39:00Z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-30/06/19</vt:lpwstr>
  </property>
  <property fmtid="{D5CDD505-2E9C-101B-9397-08002B2CF9AE}" pid="5" name="RepubDt">
    <vt:lpwstr>11/12/18</vt:lpwstr>
  </property>
  <property fmtid="{D5CDD505-2E9C-101B-9397-08002B2CF9AE}" pid="6" name="StartDt">
    <vt:lpwstr>11/12/18</vt:lpwstr>
  </property>
  <property fmtid="{D5CDD505-2E9C-101B-9397-08002B2CF9AE}" pid="7" name="DMSID">
    <vt:lpwstr>988449</vt:lpwstr>
  </property>
  <property fmtid="{D5CDD505-2E9C-101B-9397-08002B2CF9AE}" pid="8" name="CHECKEDOUTFROMJMS">
    <vt:lpwstr/>
  </property>
  <property fmtid="{D5CDD505-2E9C-101B-9397-08002B2CF9AE}" pid="9" name="JMSREQUIREDCHECKIN">
    <vt:lpwstr/>
  </property>
</Properties>
</file>