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64E58" w14:textId="77777777" w:rsidR="00831FDA" w:rsidRDefault="00831FDA" w:rsidP="00FE5883">
      <w:pPr>
        <w:spacing w:before="480"/>
        <w:jc w:val="center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22C98498" wp14:editId="27F0791C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589143" w14:textId="77777777" w:rsidR="00831FDA" w:rsidRDefault="00831FDA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530DCE32" w14:textId="11D2E08C" w:rsidR="00C0253A" w:rsidRPr="001E4518" w:rsidRDefault="004A01E2" w:rsidP="00AC0EEE">
      <w:pPr>
        <w:pStyle w:val="Billname1"/>
      </w:pPr>
      <w:r>
        <w:fldChar w:fldCharType="begin"/>
      </w:r>
      <w:r>
        <w:instrText xml:space="preserve"> REF Citation \*charformat </w:instrText>
      </w:r>
      <w:r>
        <w:fldChar w:fldCharType="separate"/>
      </w:r>
      <w:r w:rsidR="00BE26D4">
        <w:t>Gambling and Racing Control (Code of Practice) Amendment Regulation 2019 (No 1)</w:t>
      </w:r>
      <w:r>
        <w:fldChar w:fldCharType="end"/>
      </w:r>
    </w:p>
    <w:p w14:paraId="53AC2AC8" w14:textId="43F94C77" w:rsidR="00C0253A" w:rsidRPr="001E4518" w:rsidRDefault="00C0253A">
      <w:pPr>
        <w:pStyle w:val="ActNo"/>
      </w:pPr>
      <w:r w:rsidRPr="001E4518">
        <w:t xml:space="preserve">Subordinate Law </w:t>
      </w:r>
      <w:r w:rsidR="004A01E2">
        <w:fldChar w:fldCharType="begin"/>
      </w:r>
      <w:r w:rsidR="004A01E2">
        <w:instrText xml:space="preserve"> DOCPROPERTY "Category"  \* MERGEFORMAT </w:instrText>
      </w:r>
      <w:r w:rsidR="004A01E2">
        <w:fldChar w:fldCharType="separate"/>
      </w:r>
      <w:r w:rsidR="00BE26D4">
        <w:t>SL2019-10</w:t>
      </w:r>
      <w:r w:rsidR="004A01E2">
        <w:fldChar w:fldCharType="end"/>
      </w:r>
    </w:p>
    <w:p w14:paraId="0EF21399" w14:textId="77777777" w:rsidR="00C0253A" w:rsidRPr="001E4518" w:rsidRDefault="00C0253A">
      <w:pPr>
        <w:pStyle w:val="N-line3"/>
      </w:pPr>
    </w:p>
    <w:p w14:paraId="77E69F5B" w14:textId="4DF755B5" w:rsidR="00C0253A" w:rsidRPr="001E4518" w:rsidRDefault="00C0253A">
      <w:pPr>
        <w:pStyle w:val="EnactingWords"/>
      </w:pPr>
      <w:r w:rsidRPr="001E4518">
        <w:t xml:space="preserve">The Australian Capital Territory Executive makes the following regulation under the </w:t>
      </w:r>
      <w:hyperlink r:id="rId9" w:tooltip="A1999-46" w:history="1">
        <w:r w:rsidR="00E804D7" w:rsidRPr="001E4518">
          <w:rPr>
            <w:rStyle w:val="charCitHyperlinkItal"/>
          </w:rPr>
          <w:t>Gambling and Racing Control Act 1999</w:t>
        </w:r>
      </w:hyperlink>
      <w:r w:rsidRPr="001E4518">
        <w:t>.</w:t>
      </w:r>
    </w:p>
    <w:p w14:paraId="657C70E6" w14:textId="03729124" w:rsidR="00C0253A" w:rsidRPr="001E4518" w:rsidRDefault="00C0253A">
      <w:pPr>
        <w:pStyle w:val="DateLine"/>
      </w:pPr>
      <w:r w:rsidRPr="001E4518">
        <w:t xml:space="preserve">Dated </w:t>
      </w:r>
      <w:r w:rsidR="00831FDA">
        <w:t>24 May 2019</w:t>
      </w:r>
      <w:r w:rsidRPr="001E4518">
        <w:t>.</w:t>
      </w:r>
    </w:p>
    <w:p w14:paraId="720417B8" w14:textId="5D36BCF0" w:rsidR="00C0253A" w:rsidRPr="001E4518" w:rsidRDefault="00831FDA">
      <w:pPr>
        <w:pStyle w:val="Minister"/>
      </w:pPr>
      <w:r>
        <w:t>Gordon Ramsay</w:t>
      </w:r>
    </w:p>
    <w:p w14:paraId="220EEAD4" w14:textId="77777777" w:rsidR="00C0253A" w:rsidRPr="001E4518" w:rsidRDefault="00C0253A">
      <w:pPr>
        <w:pStyle w:val="MinisterWord"/>
      </w:pPr>
      <w:r w:rsidRPr="001E4518">
        <w:t>Minister</w:t>
      </w:r>
    </w:p>
    <w:p w14:paraId="31537998" w14:textId="17FB1922" w:rsidR="00C0253A" w:rsidRPr="001E4518" w:rsidRDefault="00831FDA">
      <w:pPr>
        <w:pStyle w:val="Minister"/>
      </w:pPr>
      <w:r>
        <w:t>Mick Gentleman</w:t>
      </w:r>
    </w:p>
    <w:p w14:paraId="6A6C86FF" w14:textId="77777777" w:rsidR="00C0253A" w:rsidRPr="001E4518" w:rsidRDefault="00C0253A">
      <w:pPr>
        <w:pStyle w:val="MinisterWord"/>
      </w:pPr>
      <w:r w:rsidRPr="001E4518">
        <w:t>Minister</w:t>
      </w:r>
    </w:p>
    <w:p w14:paraId="6083C91D" w14:textId="77777777" w:rsidR="00C0253A" w:rsidRPr="001E4518" w:rsidRDefault="00C0253A">
      <w:pPr>
        <w:pStyle w:val="N-line3"/>
      </w:pPr>
    </w:p>
    <w:p w14:paraId="3AC74DA1" w14:textId="77777777" w:rsidR="001E4518" w:rsidRDefault="001E4518">
      <w:pPr>
        <w:pStyle w:val="00SigningPage"/>
        <w:sectPr w:rsidR="001E451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3000" w:right="1900" w:bottom="2500" w:left="2300" w:header="2480" w:footer="2100" w:gutter="0"/>
          <w:pgNumType w:fmt="lowerRoman"/>
          <w:cols w:space="720"/>
          <w:titlePg/>
          <w:docGrid w:linePitch="254"/>
        </w:sectPr>
      </w:pPr>
    </w:p>
    <w:p w14:paraId="7B31B73F" w14:textId="77777777" w:rsidR="00831FDA" w:rsidRDefault="00831FDA" w:rsidP="00FE5883">
      <w:pPr>
        <w:spacing w:before="480"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3B2D020A" wp14:editId="48B41CB0">
            <wp:extent cx="1333500" cy="1181100"/>
            <wp:effectExtent l="19050" t="0" r="0" b="0"/>
            <wp:docPr id="2" name="Picture 2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4FD862" w14:textId="77777777" w:rsidR="00831FDA" w:rsidRDefault="00831FDA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3071C0C7" w14:textId="0D93EEE4" w:rsidR="00C0253A" w:rsidRPr="001E4518" w:rsidRDefault="00831FDA" w:rsidP="00AC0EEE">
      <w:pPr>
        <w:pStyle w:val="Billname"/>
      </w:pPr>
      <w:bookmarkStart w:id="1" w:name="Citation"/>
      <w:r>
        <w:t>Gambling and Racing Control (Code of Practice) Amendment Regulation 2019 (No 1)</w:t>
      </w:r>
      <w:bookmarkEnd w:id="1"/>
    </w:p>
    <w:p w14:paraId="16FD5CB3" w14:textId="1AD23FBF" w:rsidR="00C0253A" w:rsidRPr="001E4518" w:rsidRDefault="00C0253A">
      <w:pPr>
        <w:pStyle w:val="ActNo"/>
      </w:pPr>
      <w:r w:rsidRPr="001E4518">
        <w:t xml:space="preserve">Subordinate Law </w:t>
      </w:r>
      <w:r w:rsidR="004A01E2">
        <w:fldChar w:fldCharType="begin"/>
      </w:r>
      <w:r w:rsidR="004A01E2">
        <w:instrText xml:space="preserve"> DOCPROPERTY "Category"  \* MERGEFORMAT </w:instrText>
      </w:r>
      <w:r w:rsidR="004A01E2">
        <w:fldChar w:fldCharType="separate"/>
      </w:r>
      <w:r w:rsidR="00BE26D4">
        <w:t>SL2019-10</w:t>
      </w:r>
      <w:r w:rsidR="004A01E2">
        <w:fldChar w:fldCharType="end"/>
      </w:r>
    </w:p>
    <w:p w14:paraId="10DA00AB" w14:textId="77777777" w:rsidR="00C0253A" w:rsidRPr="001E4518" w:rsidRDefault="00C0253A">
      <w:pPr>
        <w:pStyle w:val="madeunder"/>
      </w:pPr>
      <w:r w:rsidRPr="001E4518">
        <w:t>made under the</w:t>
      </w:r>
    </w:p>
    <w:bookmarkStart w:id="2" w:name="ActName"/>
    <w:p w14:paraId="16585818" w14:textId="0EE44CCB" w:rsidR="00C0253A" w:rsidRPr="001E4518" w:rsidRDefault="00E804D7">
      <w:pPr>
        <w:pStyle w:val="AuthLaw"/>
      </w:pPr>
      <w:r w:rsidRPr="001E4518">
        <w:rPr>
          <w:rStyle w:val="charCitHyperlinkAbbrev"/>
        </w:rPr>
        <w:fldChar w:fldCharType="begin"/>
      </w:r>
      <w:r w:rsidRPr="001E4518">
        <w:rPr>
          <w:rStyle w:val="charCitHyperlinkAbbrev"/>
        </w:rPr>
        <w:instrText xml:space="preserve"> HYPERLINK "http://www.legislation.act.gov.au/a/1999-46" \o "A1999-46" </w:instrText>
      </w:r>
      <w:r w:rsidRPr="001E4518">
        <w:rPr>
          <w:rStyle w:val="charCitHyperlinkAbbrev"/>
        </w:rPr>
        <w:fldChar w:fldCharType="separate"/>
      </w:r>
      <w:r w:rsidRPr="001E4518">
        <w:rPr>
          <w:rStyle w:val="charCitHyperlinkAbbrev"/>
        </w:rPr>
        <w:t>Gambling and Racing Control Act 1999</w:t>
      </w:r>
      <w:r w:rsidRPr="001E4518">
        <w:rPr>
          <w:rStyle w:val="charCitHyperlinkAbbrev"/>
        </w:rPr>
        <w:fldChar w:fldCharType="end"/>
      </w:r>
      <w:bookmarkEnd w:id="2"/>
    </w:p>
    <w:p w14:paraId="56385E7E" w14:textId="77777777" w:rsidR="00C0253A" w:rsidRPr="001E4518" w:rsidRDefault="00C0253A">
      <w:pPr>
        <w:pStyle w:val="Placeholder"/>
      </w:pPr>
      <w:r w:rsidRPr="001E4518">
        <w:rPr>
          <w:rStyle w:val="CharChapNo"/>
        </w:rPr>
        <w:t xml:space="preserve">  </w:t>
      </w:r>
      <w:r w:rsidRPr="001E4518">
        <w:rPr>
          <w:rStyle w:val="CharChapText"/>
        </w:rPr>
        <w:t xml:space="preserve">  </w:t>
      </w:r>
    </w:p>
    <w:p w14:paraId="4B8DF671" w14:textId="77777777" w:rsidR="00C0253A" w:rsidRPr="001E4518" w:rsidRDefault="00C0253A">
      <w:pPr>
        <w:pStyle w:val="Placeholder"/>
      </w:pPr>
      <w:r w:rsidRPr="001E4518">
        <w:rPr>
          <w:rStyle w:val="CharPartNo"/>
        </w:rPr>
        <w:t xml:space="preserve">  </w:t>
      </w:r>
      <w:r w:rsidRPr="001E4518">
        <w:rPr>
          <w:rStyle w:val="CharPartText"/>
        </w:rPr>
        <w:t xml:space="preserve">  </w:t>
      </w:r>
    </w:p>
    <w:p w14:paraId="203431C2" w14:textId="77777777" w:rsidR="00C0253A" w:rsidRPr="001E4518" w:rsidRDefault="00C0253A">
      <w:pPr>
        <w:pStyle w:val="Placeholder"/>
      </w:pPr>
      <w:r w:rsidRPr="001E4518">
        <w:rPr>
          <w:rStyle w:val="CharDivNo"/>
        </w:rPr>
        <w:t xml:space="preserve">  </w:t>
      </w:r>
      <w:r w:rsidRPr="001E4518">
        <w:rPr>
          <w:rStyle w:val="CharDivText"/>
        </w:rPr>
        <w:t xml:space="preserve">  </w:t>
      </w:r>
    </w:p>
    <w:p w14:paraId="0D6597C0" w14:textId="77777777" w:rsidR="00C0253A" w:rsidRPr="001E4518" w:rsidRDefault="00C0253A">
      <w:pPr>
        <w:pStyle w:val="Placeholder"/>
      </w:pPr>
      <w:r w:rsidRPr="001E4518">
        <w:rPr>
          <w:rStyle w:val="charContents"/>
          <w:sz w:val="16"/>
        </w:rPr>
        <w:t xml:space="preserve">  </w:t>
      </w:r>
      <w:r w:rsidRPr="001E4518">
        <w:rPr>
          <w:rStyle w:val="charPage"/>
        </w:rPr>
        <w:t xml:space="preserve">  </w:t>
      </w:r>
    </w:p>
    <w:p w14:paraId="0D7B640A" w14:textId="77777777" w:rsidR="00C0253A" w:rsidRPr="001E4518" w:rsidRDefault="00C0253A">
      <w:pPr>
        <w:pStyle w:val="N-TOCheading"/>
      </w:pPr>
      <w:r w:rsidRPr="001E4518">
        <w:rPr>
          <w:rStyle w:val="charContents"/>
        </w:rPr>
        <w:t>Contents</w:t>
      </w:r>
    </w:p>
    <w:p w14:paraId="51B98B74" w14:textId="77777777" w:rsidR="00C0253A" w:rsidRPr="001E4518" w:rsidRDefault="00C0253A">
      <w:pPr>
        <w:pStyle w:val="N-9pt"/>
      </w:pPr>
      <w:r w:rsidRPr="001E4518">
        <w:tab/>
      </w:r>
      <w:r w:rsidRPr="001E4518">
        <w:rPr>
          <w:rStyle w:val="charPage"/>
        </w:rPr>
        <w:t>Page</w:t>
      </w:r>
    </w:p>
    <w:p w14:paraId="5627C757" w14:textId="3D390F46" w:rsidR="00663A03" w:rsidRDefault="00663A03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9419722" w:history="1">
        <w:r w:rsidRPr="006D31E6">
          <w:t>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6D31E6">
          <w:t>Name of regulation</w:t>
        </w:r>
        <w:r>
          <w:tab/>
        </w:r>
        <w:r>
          <w:fldChar w:fldCharType="begin"/>
        </w:r>
        <w:r>
          <w:instrText xml:space="preserve"> PAGEREF _Toc9419722 \h </w:instrText>
        </w:r>
        <w:r>
          <w:fldChar w:fldCharType="separate"/>
        </w:r>
        <w:r w:rsidR="00BE26D4">
          <w:t>1</w:t>
        </w:r>
        <w:r>
          <w:fldChar w:fldCharType="end"/>
        </w:r>
      </w:hyperlink>
    </w:p>
    <w:p w14:paraId="4F174B84" w14:textId="708EF7E6" w:rsidR="00663A03" w:rsidRDefault="00663A03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9419723" w:history="1">
        <w:r w:rsidRPr="006D31E6">
          <w:t>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6D31E6">
          <w:t>Commencement</w:t>
        </w:r>
        <w:r>
          <w:tab/>
        </w:r>
        <w:r>
          <w:fldChar w:fldCharType="begin"/>
        </w:r>
        <w:r>
          <w:instrText xml:space="preserve"> PAGEREF _Toc9419723 \h </w:instrText>
        </w:r>
        <w:r>
          <w:fldChar w:fldCharType="separate"/>
        </w:r>
        <w:r w:rsidR="00BE26D4">
          <w:t>1</w:t>
        </w:r>
        <w:r>
          <w:fldChar w:fldCharType="end"/>
        </w:r>
      </w:hyperlink>
    </w:p>
    <w:p w14:paraId="4BB8EAE8" w14:textId="000C0519" w:rsidR="00663A03" w:rsidRDefault="00663A03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9419724" w:history="1">
        <w:r w:rsidRPr="006D31E6">
          <w:t>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6D31E6">
          <w:t>Legislation amended</w:t>
        </w:r>
        <w:r>
          <w:tab/>
        </w:r>
        <w:r>
          <w:fldChar w:fldCharType="begin"/>
        </w:r>
        <w:r>
          <w:instrText xml:space="preserve"> PAGEREF _Toc9419724 \h </w:instrText>
        </w:r>
        <w:r>
          <w:fldChar w:fldCharType="separate"/>
        </w:r>
        <w:r w:rsidR="00BE26D4">
          <w:t>1</w:t>
        </w:r>
        <w:r>
          <w:fldChar w:fldCharType="end"/>
        </w:r>
      </w:hyperlink>
    </w:p>
    <w:p w14:paraId="1018ABF6" w14:textId="5F9AF0A2" w:rsidR="00663A03" w:rsidRDefault="00663A03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9419725" w:history="1">
        <w:r w:rsidRPr="006D31E6">
          <w:t>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6D31E6">
          <w:t>Schedule 1, new division 1.2.4</w:t>
        </w:r>
        <w:r>
          <w:tab/>
        </w:r>
        <w:r>
          <w:fldChar w:fldCharType="begin"/>
        </w:r>
        <w:r>
          <w:instrText xml:space="preserve"> PAGEREF _Toc9419725 \h </w:instrText>
        </w:r>
        <w:r>
          <w:fldChar w:fldCharType="separate"/>
        </w:r>
        <w:r w:rsidR="00BE26D4">
          <w:t>1</w:t>
        </w:r>
        <w:r>
          <w:fldChar w:fldCharType="end"/>
        </w:r>
      </w:hyperlink>
    </w:p>
    <w:p w14:paraId="1D89C281" w14:textId="219477BE" w:rsidR="00663A03" w:rsidRDefault="00663A03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9419726" w:history="1">
        <w:r w:rsidRPr="006D31E6">
          <w:t>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6D31E6">
          <w:t>Schedule 1, section 1.30 (6) and example</w:t>
        </w:r>
        <w:r>
          <w:tab/>
        </w:r>
        <w:r>
          <w:fldChar w:fldCharType="begin"/>
        </w:r>
        <w:r>
          <w:instrText xml:space="preserve"> PAGEREF _Toc9419726 \h </w:instrText>
        </w:r>
        <w:r>
          <w:fldChar w:fldCharType="separate"/>
        </w:r>
        <w:r w:rsidR="00BE26D4">
          <w:t>5</w:t>
        </w:r>
        <w:r>
          <w:fldChar w:fldCharType="end"/>
        </w:r>
      </w:hyperlink>
    </w:p>
    <w:p w14:paraId="48F782F0" w14:textId="13B07592" w:rsidR="00663A03" w:rsidRDefault="00663A03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lastRenderedPageBreak/>
        <w:tab/>
      </w:r>
      <w:hyperlink w:anchor="_Toc9419727" w:history="1">
        <w:r w:rsidRPr="006D31E6">
          <w:t>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6D31E6">
          <w:t>Schedule 1, section 1.30 (9), new definitions</w:t>
        </w:r>
        <w:r>
          <w:tab/>
        </w:r>
        <w:r>
          <w:fldChar w:fldCharType="begin"/>
        </w:r>
        <w:r>
          <w:instrText xml:space="preserve"> PAGEREF _Toc9419727 \h </w:instrText>
        </w:r>
        <w:r>
          <w:fldChar w:fldCharType="separate"/>
        </w:r>
        <w:r w:rsidR="00BE26D4">
          <w:t>6</w:t>
        </w:r>
        <w:r>
          <w:fldChar w:fldCharType="end"/>
        </w:r>
      </w:hyperlink>
    </w:p>
    <w:p w14:paraId="5A67143E" w14:textId="5E0CBA7C" w:rsidR="00663A03" w:rsidRDefault="00663A03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9419728" w:history="1">
        <w:r w:rsidRPr="006D31E6">
          <w:t>7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6D31E6">
          <w:t>Schedule 1, section 1.30B heading</w:t>
        </w:r>
        <w:r>
          <w:tab/>
        </w:r>
        <w:r>
          <w:fldChar w:fldCharType="begin"/>
        </w:r>
        <w:r>
          <w:instrText xml:space="preserve"> PAGEREF _Toc9419728 \h </w:instrText>
        </w:r>
        <w:r>
          <w:fldChar w:fldCharType="separate"/>
        </w:r>
        <w:r w:rsidR="00BE26D4">
          <w:t>6</w:t>
        </w:r>
        <w:r>
          <w:fldChar w:fldCharType="end"/>
        </w:r>
      </w:hyperlink>
    </w:p>
    <w:p w14:paraId="3F806D4F" w14:textId="03D8915C" w:rsidR="00663A03" w:rsidRDefault="00663A03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9419729" w:history="1">
        <w:r w:rsidRPr="006D31E6">
          <w:t>8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6D31E6">
          <w:t>Schedule 1, section 1.30B (1)</w:t>
        </w:r>
        <w:r>
          <w:tab/>
        </w:r>
        <w:r>
          <w:fldChar w:fldCharType="begin"/>
        </w:r>
        <w:r>
          <w:instrText xml:space="preserve"> PAGEREF _Toc9419729 \h </w:instrText>
        </w:r>
        <w:r>
          <w:fldChar w:fldCharType="separate"/>
        </w:r>
        <w:r w:rsidR="00BE26D4">
          <w:t>6</w:t>
        </w:r>
        <w:r>
          <w:fldChar w:fldCharType="end"/>
        </w:r>
      </w:hyperlink>
    </w:p>
    <w:p w14:paraId="3CEE40EC" w14:textId="4CBCAB93" w:rsidR="00663A03" w:rsidRDefault="00663A03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9419730" w:history="1">
        <w:r w:rsidRPr="006D31E6">
          <w:t>9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6D31E6">
          <w:t>Schedule 1, new sections 1.30C and 1.30D</w:t>
        </w:r>
        <w:r>
          <w:tab/>
        </w:r>
        <w:r>
          <w:fldChar w:fldCharType="begin"/>
        </w:r>
        <w:r>
          <w:instrText xml:space="preserve"> PAGEREF _Toc9419730 \h </w:instrText>
        </w:r>
        <w:r>
          <w:fldChar w:fldCharType="separate"/>
        </w:r>
        <w:r w:rsidR="00BE26D4">
          <w:t>7</w:t>
        </w:r>
        <w:r>
          <w:fldChar w:fldCharType="end"/>
        </w:r>
      </w:hyperlink>
    </w:p>
    <w:p w14:paraId="1B3D73AE" w14:textId="291A4008" w:rsidR="00663A03" w:rsidRDefault="00663A03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9419731" w:history="1">
        <w:r w:rsidRPr="006D31E6">
          <w:t>10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6D31E6">
          <w:t>Schedule 1, section 1.31 (1)</w:t>
        </w:r>
        <w:r>
          <w:tab/>
        </w:r>
        <w:r>
          <w:fldChar w:fldCharType="begin"/>
        </w:r>
        <w:r>
          <w:instrText xml:space="preserve"> PAGEREF _Toc9419731 \h </w:instrText>
        </w:r>
        <w:r>
          <w:fldChar w:fldCharType="separate"/>
        </w:r>
        <w:r w:rsidR="00BE26D4">
          <w:t>8</w:t>
        </w:r>
        <w:r>
          <w:fldChar w:fldCharType="end"/>
        </w:r>
      </w:hyperlink>
    </w:p>
    <w:p w14:paraId="1F8B9ACD" w14:textId="3949D331" w:rsidR="00663A03" w:rsidRDefault="00663A03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9419732" w:history="1">
        <w:r w:rsidRPr="006D31E6">
          <w:t>11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6D31E6">
          <w:t>Schedule 1, new part 1.10</w:t>
        </w:r>
        <w:r>
          <w:tab/>
        </w:r>
        <w:r>
          <w:fldChar w:fldCharType="begin"/>
        </w:r>
        <w:r>
          <w:instrText xml:space="preserve"> PAGEREF _Toc9419732 \h </w:instrText>
        </w:r>
        <w:r>
          <w:fldChar w:fldCharType="separate"/>
        </w:r>
        <w:r w:rsidR="00BE26D4">
          <w:t>8</w:t>
        </w:r>
        <w:r>
          <w:fldChar w:fldCharType="end"/>
        </w:r>
      </w:hyperlink>
    </w:p>
    <w:p w14:paraId="49BE73FA" w14:textId="77777777" w:rsidR="00C0253A" w:rsidRPr="001E4518" w:rsidRDefault="00663A03">
      <w:pPr>
        <w:pStyle w:val="BillBasic"/>
      </w:pPr>
      <w:r>
        <w:fldChar w:fldCharType="end"/>
      </w:r>
    </w:p>
    <w:p w14:paraId="2A741EEE" w14:textId="77777777" w:rsidR="001E4518" w:rsidRDefault="001E4518">
      <w:pPr>
        <w:pStyle w:val="01Contents"/>
        <w:sectPr w:rsidR="001E4518" w:rsidSect="00FE5883">
          <w:headerReference w:type="even" r:id="rId16"/>
          <w:headerReference w:type="default" r:id="rId17"/>
          <w:footerReference w:type="even" r:id="rId18"/>
          <w:footerReference w:type="default" r:id="rId19"/>
          <w:footerReference w:type="first" r:id="rId20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254"/>
        </w:sectPr>
      </w:pPr>
    </w:p>
    <w:p w14:paraId="43D35386" w14:textId="77777777" w:rsidR="00A51FDB" w:rsidRPr="001E4518" w:rsidRDefault="001E4518" w:rsidP="001E4518">
      <w:pPr>
        <w:pStyle w:val="AH5Sec"/>
        <w:shd w:val="pct25" w:color="auto" w:fill="auto"/>
      </w:pPr>
      <w:bookmarkStart w:id="3" w:name="_Toc9419722"/>
      <w:r w:rsidRPr="001E4518">
        <w:rPr>
          <w:rStyle w:val="CharSectNo"/>
        </w:rPr>
        <w:lastRenderedPageBreak/>
        <w:t>1</w:t>
      </w:r>
      <w:r w:rsidRPr="001E4518">
        <w:tab/>
      </w:r>
      <w:r w:rsidR="00A51FDB" w:rsidRPr="001E4518">
        <w:t>Name of regulation</w:t>
      </w:r>
      <w:bookmarkEnd w:id="3"/>
    </w:p>
    <w:p w14:paraId="1D3804F6" w14:textId="5B1002E9" w:rsidR="00A51FDB" w:rsidRPr="001E4518" w:rsidRDefault="00A51FDB" w:rsidP="00A51FDB">
      <w:pPr>
        <w:pStyle w:val="Amainreturn"/>
      </w:pPr>
      <w:r w:rsidRPr="001E4518">
        <w:t xml:space="preserve">This regulation is the </w:t>
      </w:r>
      <w:r w:rsidRPr="001E4518">
        <w:rPr>
          <w:i/>
        </w:rPr>
        <w:fldChar w:fldCharType="begin"/>
      </w:r>
      <w:r w:rsidRPr="001E4518">
        <w:rPr>
          <w:i/>
        </w:rPr>
        <w:instrText xml:space="preserve"> REF citation \*charformat </w:instrText>
      </w:r>
      <w:r w:rsidRPr="001E4518">
        <w:rPr>
          <w:i/>
        </w:rPr>
        <w:fldChar w:fldCharType="separate"/>
      </w:r>
      <w:r w:rsidR="00BE26D4" w:rsidRPr="00BE26D4">
        <w:rPr>
          <w:i/>
        </w:rPr>
        <w:t>Gambling and Racing Control (Code of Practice) Amendment Regulation 2019 (No 1)</w:t>
      </w:r>
      <w:r w:rsidRPr="001E4518">
        <w:rPr>
          <w:i/>
        </w:rPr>
        <w:fldChar w:fldCharType="end"/>
      </w:r>
      <w:r w:rsidRPr="001E4518">
        <w:rPr>
          <w:iCs/>
        </w:rPr>
        <w:t>.</w:t>
      </w:r>
    </w:p>
    <w:p w14:paraId="09231D93" w14:textId="77777777" w:rsidR="00A51FDB" w:rsidRPr="001E4518" w:rsidRDefault="001E4518" w:rsidP="001E4518">
      <w:pPr>
        <w:pStyle w:val="AH5Sec"/>
        <w:shd w:val="pct25" w:color="auto" w:fill="auto"/>
      </w:pPr>
      <w:bookmarkStart w:id="4" w:name="_Toc9419723"/>
      <w:r w:rsidRPr="001E4518">
        <w:rPr>
          <w:rStyle w:val="CharSectNo"/>
        </w:rPr>
        <w:t>2</w:t>
      </w:r>
      <w:r w:rsidRPr="001E4518">
        <w:tab/>
      </w:r>
      <w:r w:rsidR="00A51FDB" w:rsidRPr="001E4518">
        <w:t>Commencement</w:t>
      </w:r>
      <w:bookmarkEnd w:id="4"/>
    </w:p>
    <w:p w14:paraId="23323977" w14:textId="77777777" w:rsidR="00A51FDB" w:rsidRPr="001E4518" w:rsidRDefault="00A51FDB" w:rsidP="001E4518">
      <w:pPr>
        <w:pStyle w:val="Amainreturn"/>
        <w:keepNext/>
      </w:pPr>
      <w:r w:rsidRPr="001E4518">
        <w:t>This regulation commences on 26 May 2019.</w:t>
      </w:r>
    </w:p>
    <w:p w14:paraId="58D35263" w14:textId="104C85D4" w:rsidR="00A51FDB" w:rsidRPr="001E4518" w:rsidRDefault="00A51FDB" w:rsidP="00A51FDB">
      <w:pPr>
        <w:pStyle w:val="aNote"/>
      </w:pPr>
      <w:r w:rsidRPr="001E4518">
        <w:rPr>
          <w:rStyle w:val="charItals"/>
        </w:rPr>
        <w:t>Note</w:t>
      </w:r>
      <w:r w:rsidRPr="001E4518">
        <w:rPr>
          <w:rStyle w:val="charItals"/>
        </w:rPr>
        <w:tab/>
      </w:r>
      <w:r w:rsidRPr="001E4518">
        <w:t xml:space="preserve">The naming and commencement provisions automatically commence on the notification day (see </w:t>
      </w:r>
      <w:hyperlink r:id="rId21" w:tooltip="A2001-14" w:history="1">
        <w:r w:rsidR="00E804D7" w:rsidRPr="001E4518">
          <w:rPr>
            <w:rStyle w:val="charCitHyperlinkAbbrev"/>
          </w:rPr>
          <w:t>Legislation Act</w:t>
        </w:r>
      </w:hyperlink>
      <w:r w:rsidRPr="001E4518">
        <w:t>, s 75 (1)).</w:t>
      </w:r>
    </w:p>
    <w:p w14:paraId="3E0C76BB" w14:textId="77777777" w:rsidR="00A51FDB" w:rsidRPr="001E4518" w:rsidRDefault="001E4518" w:rsidP="001E4518">
      <w:pPr>
        <w:pStyle w:val="AH5Sec"/>
        <w:shd w:val="pct25" w:color="auto" w:fill="auto"/>
      </w:pPr>
      <w:bookmarkStart w:id="5" w:name="_Toc9419724"/>
      <w:r w:rsidRPr="001E4518">
        <w:rPr>
          <w:rStyle w:val="CharSectNo"/>
        </w:rPr>
        <w:t>3</w:t>
      </w:r>
      <w:r w:rsidRPr="001E4518">
        <w:tab/>
      </w:r>
      <w:r w:rsidR="00A51FDB" w:rsidRPr="001E4518">
        <w:t>Legislation amended</w:t>
      </w:r>
      <w:bookmarkEnd w:id="5"/>
    </w:p>
    <w:p w14:paraId="7F33CACE" w14:textId="62B6E00B" w:rsidR="00A51FDB" w:rsidRPr="001E4518" w:rsidRDefault="00A51FDB" w:rsidP="00A51FDB">
      <w:pPr>
        <w:pStyle w:val="Amainreturn"/>
      </w:pPr>
      <w:r w:rsidRPr="001E4518">
        <w:t xml:space="preserve">This regulation amends the </w:t>
      </w:r>
      <w:hyperlink r:id="rId22" w:tooltip="SL2002-28" w:history="1">
        <w:r w:rsidR="00E804D7" w:rsidRPr="001E4518">
          <w:rPr>
            <w:rStyle w:val="charCitHyperlinkItal"/>
          </w:rPr>
          <w:t>Gambling and Racing Control (Code of Practice) Regulation 2002</w:t>
        </w:r>
      </w:hyperlink>
      <w:r w:rsidRPr="001E4518">
        <w:t>.</w:t>
      </w:r>
    </w:p>
    <w:p w14:paraId="00F8501A" w14:textId="77777777" w:rsidR="00A51FDB" w:rsidRPr="001E4518" w:rsidRDefault="001E4518" w:rsidP="001E4518">
      <w:pPr>
        <w:pStyle w:val="AH5Sec"/>
        <w:shd w:val="pct25" w:color="auto" w:fill="auto"/>
      </w:pPr>
      <w:bookmarkStart w:id="6" w:name="_Toc9419725"/>
      <w:r w:rsidRPr="001E4518">
        <w:rPr>
          <w:rStyle w:val="CharSectNo"/>
        </w:rPr>
        <w:t>4</w:t>
      </w:r>
      <w:r w:rsidRPr="001E4518">
        <w:tab/>
      </w:r>
      <w:r w:rsidR="00A51FDB" w:rsidRPr="001E4518">
        <w:t>Schedule 1, new division 1.2.4</w:t>
      </w:r>
      <w:bookmarkEnd w:id="6"/>
    </w:p>
    <w:p w14:paraId="5125B44F" w14:textId="77777777" w:rsidR="00A51FDB" w:rsidRPr="001E4518" w:rsidRDefault="00A51FDB" w:rsidP="00A51FDB">
      <w:pPr>
        <w:pStyle w:val="direction"/>
      </w:pPr>
      <w:r w:rsidRPr="001E4518">
        <w:t>insert</w:t>
      </w:r>
    </w:p>
    <w:p w14:paraId="2E8323C0" w14:textId="77777777" w:rsidR="00A51FDB" w:rsidRPr="001E4518" w:rsidRDefault="00A51FDB" w:rsidP="00A51FDB">
      <w:pPr>
        <w:pStyle w:val="IH3Div"/>
        <w:rPr>
          <w:color w:val="000000"/>
        </w:rPr>
      </w:pPr>
      <w:r w:rsidRPr="001E4518">
        <w:t>Division 1.2.4</w:t>
      </w:r>
      <w:r w:rsidRPr="001E4518">
        <w:tab/>
        <w:t>Betting accounts</w:t>
      </w:r>
      <w:r w:rsidRPr="001E4518">
        <w:rPr>
          <w:color w:val="000000"/>
        </w:rPr>
        <w:t>—totalisator and sports bookmaking licensees</w:t>
      </w:r>
    </w:p>
    <w:p w14:paraId="77FF5503" w14:textId="77777777" w:rsidR="00A51FDB" w:rsidRPr="001E4518" w:rsidRDefault="00A51FDB" w:rsidP="00A51FDB">
      <w:pPr>
        <w:pStyle w:val="IH5Sec"/>
      </w:pPr>
      <w:r w:rsidRPr="001E4518">
        <w:t>1.20A</w:t>
      </w:r>
      <w:r w:rsidRPr="001E4518">
        <w:tab/>
        <w:t>Application</w:t>
      </w:r>
      <w:r w:rsidRPr="001E4518">
        <w:rPr>
          <w:color w:val="000000"/>
        </w:rPr>
        <w:t>—div 1.2.4</w:t>
      </w:r>
    </w:p>
    <w:p w14:paraId="196D533F" w14:textId="77777777" w:rsidR="00A51FDB" w:rsidRPr="001E4518" w:rsidRDefault="00A51FDB" w:rsidP="00A51FDB">
      <w:pPr>
        <w:pStyle w:val="Amainreturn"/>
      </w:pPr>
      <w:r w:rsidRPr="001E4518">
        <w:t>This division applies only to a totalisator licensee or a sports bookmaking licensee.</w:t>
      </w:r>
    </w:p>
    <w:p w14:paraId="121F54CE" w14:textId="77777777" w:rsidR="00A51FDB" w:rsidRPr="001E4518" w:rsidRDefault="00A51FDB" w:rsidP="00A51FDB">
      <w:pPr>
        <w:pStyle w:val="IH5Sec"/>
        <w:rPr>
          <w:color w:val="000000"/>
        </w:rPr>
      </w:pPr>
      <w:r w:rsidRPr="001E4518">
        <w:t>1.20B</w:t>
      </w:r>
      <w:r w:rsidRPr="001E4518">
        <w:tab/>
        <w:t>Definitions</w:t>
      </w:r>
      <w:r w:rsidRPr="001E4518">
        <w:rPr>
          <w:color w:val="000000"/>
        </w:rPr>
        <w:t>—div 1.2.4</w:t>
      </w:r>
    </w:p>
    <w:p w14:paraId="57053029" w14:textId="77777777" w:rsidR="00A51FDB" w:rsidRPr="001E4518" w:rsidRDefault="00A51FDB" w:rsidP="00A51FDB">
      <w:pPr>
        <w:pStyle w:val="Amainreturn"/>
      </w:pPr>
      <w:r w:rsidRPr="001E4518">
        <w:t>In this division:</w:t>
      </w:r>
    </w:p>
    <w:p w14:paraId="7D15801D" w14:textId="77777777" w:rsidR="00A51FDB" w:rsidRPr="001E4518" w:rsidRDefault="00A51FDB" w:rsidP="001E4518">
      <w:pPr>
        <w:pStyle w:val="aDef"/>
      </w:pPr>
      <w:r w:rsidRPr="001E4518">
        <w:rPr>
          <w:rStyle w:val="charBoldItals"/>
        </w:rPr>
        <w:t xml:space="preserve">betting account </w:t>
      </w:r>
      <w:r w:rsidRPr="001E4518">
        <w:t>means an account held by a person with a licensee into which funds are or can be deposited and used by the person to place a bet with the licensee.</w:t>
      </w:r>
    </w:p>
    <w:p w14:paraId="3CE0D5F7" w14:textId="77777777" w:rsidR="00A51FDB" w:rsidRPr="001E4518" w:rsidRDefault="00A51FDB" w:rsidP="001E4518">
      <w:pPr>
        <w:pStyle w:val="aDef"/>
      </w:pPr>
      <w:r w:rsidRPr="001E4518">
        <w:rPr>
          <w:rStyle w:val="charBoldItals"/>
        </w:rPr>
        <w:lastRenderedPageBreak/>
        <w:t>deposit limit</w:t>
      </w:r>
      <w:r w:rsidRPr="001E4518">
        <w:t>, for a person’s betting account, means a limit to the amount that can be deposited into the account during a stated period or periods.</w:t>
      </w:r>
    </w:p>
    <w:p w14:paraId="187D4145" w14:textId="77777777" w:rsidR="00A51FDB" w:rsidRPr="001E4518" w:rsidRDefault="00A51FDB" w:rsidP="00A51FDB">
      <w:pPr>
        <w:pStyle w:val="IH5Sec"/>
      </w:pPr>
      <w:r w:rsidRPr="001E4518">
        <w:t>1.20C</w:t>
      </w:r>
      <w:r w:rsidRPr="001E4518">
        <w:tab/>
        <w:t>Information about deposit limits</w:t>
      </w:r>
    </w:p>
    <w:p w14:paraId="183DB40F" w14:textId="77777777" w:rsidR="00A51FDB" w:rsidRPr="001E4518" w:rsidRDefault="00A51FDB" w:rsidP="00A51FDB">
      <w:pPr>
        <w:pStyle w:val="IMain"/>
      </w:pPr>
      <w:r w:rsidRPr="001E4518">
        <w:tab/>
        <w:t>(1)</w:t>
      </w:r>
      <w:r w:rsidRPr="001E4518">
        <w:tab/>
        <w:t>A licensee must not open a betting account for a person unless</w:t>
      </w:r>
      <w:r w:rsidRPr="001E4518">
        <w:rPr>
          <w:color w:val="000000"/>
        </w:rPr>
        <w:t>—</w:t>
      </w:r>
    </w:p>
    <w:p w14:paraId="12315B93" w14:textId="77777777" w:rsidR="00A51FDB" w:rsidRPr="001E4518" w:rsidRDefault="00A51FDB" w:rsidP="00A51FDB">
      <w:pPr>
        <w:pStyle w:val="Ipara"/>
      </w:pPr>
      <w:r w:rsidRPr="001E4518">
        <w:tab/>
        <w:t>(a)</w:t>
      </w:r>
      <w:r w:rsidRPr="001E4518">
        <w:tab/>
        <w:t>the licensee, in accordance with any guidelines made under section 1.20G, has</w:t>
      </w:r>
      <w:r w:rsidRPr="001E4518">
        <w:rPr>
          <w:color w:val="000000"/>
        </w:rPr>
        <w:t>—</w:t>
      </w:r>
    </w:p>
    <w:p w14:paraId="0A92CBC1" w14:textId="77777777" w:rsidR="00A51FDB" w:rsidRPr="001E4518" w:rsidRDefault="00A51FDB" w:rsidP="00A51FDB">
      <w:pPr>
        <w:pStyle w:val="Isubpara"/>
      </w:pPr>
      <w:r w:rsidRPr="001E4518">
        <w:tab/>
        <w:t>(i)</w:t>
      </w:r>
      <w:r w:rsidRPr="001E4518">
        <w:tab/>
        <w:t>told the person they can set a deposit limit for the account; and</w:t>
      </w:r>
    </w:p>
    <w:p w14:paraId="3C9F6B2D" w14:textId="77777777" w:rsidR="00A51FDB" w:rsidRPr="001E4518" w:rsidRDefault="00A51FDB" w:rsidP="00A51FDB">
      <w:pPr>
        <w:pStyle w:val="Isubpara"/>
      </w:pPr>
      <w:r w:rsidRPr="001E4518">
        <w:tab/>
        <w:t>(ii)</w:t>
      </w:r>
      <w:r w:rsidRPr="001E4518">
        <w:tab/>
        <w:t>asked the person whether they want to set a deposit limit; and</w:t>
      </w:r>
    </w:p>
    <w:p w14:paraId="4ADF82CD" w14:textId="77777777" w:rsidR="00A51FDB" w:rsidRPr="001E4518" w:rsidRDefault="00A51FDB" w:rsidP="00A51FDB">
      <w:pPr>
        <w:pStyle w:val="Ipara"/>
      </w:pPr>
      <w:r w:rsidRPr="001E4518">
        <w:tab/>
        <w:t>(b)</w:t>
      </w:r>
      <w:r w:rsidRPr="001E4518">
        <w:tab/>
        <w:t>the person has set, or declined to set, a deposit limit for the account.</w:t>
      </w:r>
    </w:p>
    <w:p w14:paraId="7BA9CA0F" w14:textId="77777777" w:rsidR="00A51FDB" w:rsidRPr="001E4518" w:rsidRDefault="00A51FDB" w:rsidP="00A51FDB">
      <w:pPr>
        <w:pStyle w:val="IMain"/>
      </w:pPr>
      <w:r w:rsidRPr="001E4518">
        <w:tab/>
        <w:t>(2)</w:t>
      </w:r>
      <w:r w:rsidRPr="001E4518">
        <w:tab/>
        <w:t>At least once every 12 months while a person has a betting account with a licensee, the licensee must, in accordance with any guidelines made under section 1.20G</w:t>
      </w:r>
      <w:r w:rsidRPr="001E4518">
        <w:rPr>
          <w:color w:val="000000"/>
        </w:rPr>
        <w:t>—</w:t>
      </w:r>
    </w:p>
    <w:p w14:paraId="3BB9AE9D" w14:textId="77777777" w:rsidR="00A51FDB" w:rsidRPr="001E4518" w:rsidRDefault="00A51FDB" w:rsidP="00A51FDB">
      <w:pPr>
        <w:pStyle w:val="Ipara"/>
      </w:pPr>
      <w:r w:rsidRPr="001E4518">
        <w:tab/>
        <w:t>(a)</w:t>
      </w:r>
      <w:r w:rsidRPr="001E4518">
        <w:tab/>
        <w:t>if the account has no deposit limit</w:t>
      </w:r>
      <w:r w:rsidRPr="001E4518">
        <w:rPr>
          <w:color w:val="000000"/>
        </w:rPr>
        <w:t>—tell</w:t>
      </w:r>
      <w:r w:rsidRPr="001E4518">
        <w:t xml:space="preserve"> the person they can set a deposit limit and ask the person whether they want to set a deposit limit; and</w:t>
      </w:r>
    </w:p>
    <w:p w14:paraId="5D6C9EF7" w14:textId="77777777" w:rsidR="00A51FDB" w:rsidRPr="001E4518" w:rsidRDefault="00A51FDB" w:rsidP="00A51FDB">
      <w:pPr>
        <w:pStyle w:val="Ipara"/>
      </w:pPr>
      <w:r w:rsidRPr="001E4518">
        <w:tab/>
        <w:t>(b)</w:t>
      </w:r>
      <w:r w:rsidRPr="001E4518">
        <w:tab/>
        <w:t>if the account has a deposit limit</w:t>
      </w:r>
      <w:r w:rsidRPr="001E4518">
        <w:rPr>
          <w:color w:val="000000"/>
        </w:rPr>
        <w:t>—</w:t>
      </w:r>
      <w:r w:rsidRPr="001E4518">
        <w:t>ask the person whether they want to change the deposit limit.</w:t>
      </w:r>
    </w:p>
    <w:p w14:paraId="2B1B5315" w14:textId="77777777" w:rsidR="00A51FDB" w:rsidRPr="001E4518" w:rsidRDefault="00A51FDB" w:rsidP="00A51FDB">
      <w:pPr>
        <w:pStyle w:val="IMain"/>
      </w:pPr>
      <w:r w:rsidRPr="001E4518">
        <w:tab/>
        <w:t>(3)</w:t>
      </w:r>
      <w:r w:rsidRPr="001E4518">
        <w:tab/>
        <w:t>Subsection (2) does not apply if the betting account has not been used to make or settle a bet within the previous 12 months.</w:t>
      </w:r>
    </w:p>
    <w:p w14:paraId="524F0EF1" w14:textId="77777777" w:rsidR="00A51FDB" w:rsidRPr="001E4518" w:rsidRDefault="00A51FDB" w:rsidP="00A51FDB">
      <w:pPr>
        <w:pStyle w:val="IMain"/>
        <w:rPr>
          <w:color w:val="000000"/>
        </w:rPr>
      </w:pPr>
      <w:r w:rsidRPr="001E4518">
        <w:tab/>
        <w:t>(4)</w:t>
      </w:r>
      <w:r w:rsidRPr="001E4518">
        <w:tab/>
        <w:t>A licensee must publish information promoting deposit limits</w:t>
      </w:r>
      <w:r w:rsidRPr="001E4518">
        <w:rPr>
          <w:color w:val="000000"/>
        </w:rPr>
        <w:t>—</w:t>
      </w:r>
    </w:p>
    <w:p w14:paraId="3DFD03E0" w14:textId="77777777" w:rsidR="00A51FDB" w:rsidRPr="001E4518" w:rsidRDefault="00A51FDB" w:rsidP="00A51FDB">
      <w:pPr>
        <w:pStyle w:val="Ipara"/>
      </w:pPr>
      <w:r w:rsidRPr="001E4518">
        <w:tab/>
        <w:t>(a)</w:t>
      </w:r>
      <w:r w:rsidRPr="001E4518">
        <w:tab/>
        <w:t>on the licensee’s website and on each communication channel a person can use to place a bet with the licensee; and</w:t>
      </w:r>
    </w:p>
    <w:p w14:paraId="2E8A776D" w14:textId="77777777" w:rsidR="00A51FDB" w:rsidRPr="001E4518" w:rsidRDefault="00A51FDB" w:rsidP="00A51FDB">
      <w:pPr>
        <w:pStyle w:val="Ipara"/>
      </w:pPr>
      <w:r w:rsidRPr="001E4518">
        <w:tab/>
        <w:t>(b)</w:t>
      </w:r>
      <w:r w:rsidRPr="001E4518">
        <w:tab/>
        <w:t>in accordance with any guidelines made under section 1.20G.</w:t>
      </w:r>
    </w:p>
    <w:p w14:paraId="11145C47" w14:textId="77777777" w:rsidR="00A51FDB" w:rsidRPr="001E4518" w:rsidRDefault="00A51FDB" w:rsidP="00A51FDB">
      <w:pPr>
        <w:pStyle w:val="IH5Sec"/>
      </w:pPr>
      <w:r w:rsidRPr="001E4518">
        <w:lastRenderedPageBreak/>
        <w:t>1.20D</w:t>
      </w:r>
      <w:r w:rsidRPr="001E4518">
        <w:tab/>
        <w:t>No deposits over deposit limit</w:t>
      </w:r>
    </w:p>
    <w:p w14:paraId="5524D4CD" w14:textId="77777777" w:rsidR="00A51FDB" w:rsidRPr="001E4518" w:rsidRDefault="00A51FDB" w:rsidP="001A1A46">
      <w:pPr>
        <w:pStyle w:val="Amainreturn"/>
      </w:pPr>
      <w:r w:rsidRPr="001E4518">
        <w:t>A licensee must not allow a person to deposit money into a betting account held with the licensee if depositing the amount would result in the deposit limit for the account being exceeded.</w:t>
      </w:r>
    </w:p>
    <w:p w14:paraId="0104A17B" w14:textId="77777777" w:rsidR="00A51FDB" w:rsidRPr="001E4518" w:rsidRDefault="00A51FDB" w:rsidP="00A51FDB">
      <w:pPr>
        <w:pStyle w:val="aExamHdgss"/>
      </w:pPr>
      <w:r w:rsidRPr="001E4518">
        <w:t>Examples</w:t>
      </w:r>
    </w:p>
    <w:p w14:paraId="29B39977" w14:textId="77777777" w:rsidR="00A51FDB" w:rsidRPr="001E4518" w:rsidRDefault="00A51FDB" w:rsidP="00A51FDB">
      <w:pPr>
        <w:pStyle w:val="aExamINumss"/>
      </w:pPr>
      <w:r w:rsidRPr="001E4518">
        <w:t>1</w:t>
      </w:r>
      <w:r w:rsidRPr="001E4518">
        <w:tab/>
        <w:t>Ali has a betting account with XYZ licensee and has set a deposit limit of $100 per week. Ali deposits $100 into the account. Less than a week later, Ali attempts to deposit $10 into the account. XYZ licensee must reject the transaction as it would exceed Ali’s deposit limit of $100 per week.</w:t>
      </w:r>
    </w:p>
    <w:p w14:paraId="6A134365" w14:textId="77777777" w:rsidR="00A51FDB" w:rsidRPr="001E4518" w:rsidRDefault="00A51FDB" w:rsidP="00A51FDB">
      <w:pPr>
        <w:pStyle w:val="aExamINumss"/>
      </w:pPr>
      <w:r w:rsidRPr="001E4518">
        <w:t>2</w:t>
      </w:r>
      <w:r w:rsidRPr="001E4518">
        <w:tab/>
        <w:t>Pat has a betting account with XYZ licensee and has set a deposit limit of $200 per fortnight. Pat deposits $100 into the account. Less than a fortnight later, Pat attempts to deposit $150 into the account. XYZ licensee must reject the transaction as it would exceed Pat’s deposit limit of $200 per fortnight.</w:t>
      </w:r>
    </w:p>
    <w:p w14:paraId="000D64E1" w14:textId="77777777" w:rsidR="00A51FDB" w:rsidRPr="001E4518" w:rsidRDefault="00A51FDB" w:rsidP="00A51FDB">
      <w:pPr>
        <w:pStyle w:val="IH5Sec"/>
      </w:pPr>
      <w:r w:rsidRPr="001E4518">
        <w:t>1.20E</w:t>
      </w:r>
      <w:r w:rsidRPr="001E4518">
        <w:tab/>
        <w:t>Setting and changing deposit limits</w:t>
      </w:r>
    </w:p>
    <w:p w14:paraId="1CE3CC2E" w14:textId="77777777" w:rsidR="00A51FDB" w:rsidRPr="001E4518" w:rsidRDefault="00A51FDB" w:rsidP="00A51FDB">
      <w:pPr>
        <w:pStyle w:val="IMain"/>
      </w:pPr>
      <w:r w:rsidRPr="001E4518">
        <w:tab/>
        <w:t>(1)</w:t>
      </w:r>
      <w:r w:rsidRPr="001E4518">
        <w:tab/>
        <w:t>A licensee must ensure that the process for a person to set and change a deposit limit for their betting account held with the licensee—</w:t>
      </w:r>
    </w:p>
    <w:p w14:paraId="6A1CBC47" w14:textId="77777777" w:rsidR="00A51FDB" w:rsidRPr="001E4518" w:rsidRDefault="00A51FDB" w:rsidP="00A51FDB">
      <w:pPr>
        <w:pStyle w:val="Ipara"/>
      </w:pPr>
      <w:r w:rsidRPr="001E4518">
        <w:tab/>
        <w:t>(a)</w:t>
      </w:r>
      <w:r w:rsidRPr="001E4518">
        <w:tab/>
        <w:t>is simple and easy for the person to use; and</w:t>
      </w:r>
    </w:p>
    <w:p w14:paraId="6B6FE6C7" w14:textId="77777777" w:rsidR="00A51FDB" w:rsidRPr="001E4518" w:rsidRDefault="00A51FDB" w:rsidP="00A51FDB">
      <w:pPr>
        <w:pStyle w:val="Ipara"/>
      </w:pPr>
      <w:r w:rsidRPr="001E4518">
        <w:tab/>
        <w:t>(b)</w:t>
      </w:r>
      <w:r w:rsidRPr="001E4518">
        <w:tab/>
        <w:t>allows the person to choose the period or periods to which the limit applies, including a period or periods of 1, 7, 14 or 28 days; and</w:t>
      </w:r>
    </w:p>
    <w:p w14:paraId="3EF54B37" w14:textId="77777777" w:rsidR="00A51FDB" w:rsidRPr="001E4518" w:rsidRDefault="00A51FDB" w:rsidP="00A51FDB">
      <w:pPr>
        <w:pStyle w:val="Ipara"/>
      </w:pPr>
      <w:r w:rsidRPr="001E4518">
        <w:tab/>
        <w:t>(c)</w:t>
      </w:r>
      <w:r w:rsidRPr="001E4518">
        <w:tab/>
        <w:t>complies with any guidelines made under section 1.20G.</w:t>
      </w:r>
    </w:p>
    <w:p w14:paraId="63535E9C" w14:textId="77777777" w:rsidR="00A51FDB" w:rsidRPr="001E4518" w:rsidRDefault="00A51FDB" w:rsidP="00A51FDB">
      <w:pPr>
        <w:pStyle w:val="IMain"/>
      </w:pPr>
      <w:r w:rsidRPr="001E4518">
        <w:tab/>
        <w:t>(2)</w:t>
      </w:r>
      <w:r w:rsidRPr="001E4518">
        <w:tab/>
        <w:t>A licensee must set or lower the deposit limit for a person’s betting account with the licensee immediately when the licensee receives a request from the person to do so.</w:t>
      </w:r>
    </w:p>
    <w:p w14:paraId="10617A84" w14:textId="77777777" w:rsidR="00A51FDB" w:rsidRPr="001E4518" w:rsidRDefault="00A51FDB" w:rsidP="00A51FDB">
      <w:pPr>
        <w:pStyle w:val="IMain"/>
      </w:pPr>
      <w:r w:rsidRPr="001E4518">
        <w:tab/>
        <w:t>(3)</w:t>
      </w:r>
      <w:r w:rsidRPr="001E4518">
        <w:tab/>
        <w:t>A licensee must not increase the deposit limit for a person’s betting account with the licensee until at least 7 days after the licensee receives a request to do so.</w:t>
      </w:r>
    </w:p>
    <w:p w14:paraId="06A5C664" w14:textId="77777777" w:rsidR="00A51FDB" w:rsidRPr="001E4518" w:rsidRDefault="00A51FDB" w:rsidP="00A51FDB">
      <w:pPr>
        <w:pStyle w:val="IH5Sec"/>
      </w:pPr>
      <w:r w:rsidRPr="001E4518">
        <w:lastRenderedPageBreak/>
        <w:t>1.20F</w:t>
      </w:r>
      <w:r w:rsidRPr="001E4518">
        <w:tab/>
        <w:t>Closing betting accounts</w:t>
      </w:r>
    </w:p>
    <w:p w14:paraId="20B892CB" w14:textId="77777777" w:rsidR="00A51FDB" w:rsidRPr="001E4518" w:rsidRDefault="00A51FDB" w:rsidP="00A51FDB">
      <w:pPr>
        <w:pStyle w:val="IMain"/>
      </w:pPr>
      <w:r w:rsidRPr="001E4518">
        <w:tab/>
        <w:t>(1)</w:t>
      </w:r>
      <w:r w:rsidRPr="001E4518">
        <w:tab/>
        <w:t>A licensee must, in accordance with any guidelines made under section 1.20G, ensure that the process for a person to close their betting account held with the licensee is</w:t>
      </w:r>
      <w:r w:rsidRPr="001E4518">
        <w:rPr>
          <w:color w:val="000000"/>
        </w:rPr>
        <w:t>—</w:t>
      </w:r>
    </w:p>
    <w:p w14:paraId="63E42C84" w14:textId="77777777" w:rsidR="00A51FDB" w:rsidRPr="001E4518" w:rsidRDefault="00A51FDB" w:rsidP="00A51FDB">
      <w:pPr>
        <w:pStyle w:val="Ipara"/>
      </w:pPr>
      <w:r w:rsidRPr="001E4518">
        <w:tab/>
        <w:t>(a)</w:t>
      </w:r>
      <w:r w:rsidRPr="001E4518">
        <w:tab/>
        <w:t>simple and easy for the person to use; and</w:t>
      </w:r>
    </w:p>
    <w:p w14:paraId="438CBBB0" w14:textId="77777777" w:rsidR="00A51FDB" w:rsidRPr="001E4518" w:rsidRDefault="00A51FDB" w:rsidP="00A51FDB">
      <w:pPr>
        <w:pStyle w:val="Ipara"/>
      </w:pPr>
      <w:r w:rsidRPr="001E4518">
        <w:tab/>
        <w:t>(b)</w:t>
      </w:r>
      <w:r w:rsidRPr="001E4518">
        <w:tab/>
        <w:t>prominently and clearly communicated on the licensee’s website and through any communication channel the person can use to place a bet with the licensee.</w:t>
      </w:r>
    </w:p>
    <w:p w14:paraId="090932D2" w14:textId="77777777" w:rsidR="00A51FDB" w:rsidRPr="001E4518" w:rsidRDefault="00A51FDB" w:rsidP="00A51FDB">
      <w:pPr>
        <w:pStyle w:val="IMain"/>
      </w:pPr>
      <w:r w:rsidRPr="001E4518">
        <w:tab/>
        <w:t>(2)</w:t>
      </w:r>
      <w:r w:rsidRPr="001E4518">
        <w:tab/>
        <w:t>A licensee must ensure that a person can ask to close their betting account—</w:t>
      </w:r>
    </w:p>
    <w:p w14:paraId="40EF5AA3" w14:textId="77777777" w:rsidR="00A51FDB" w:rsidRPr="001E4518" w:rsidRDefault="00A51FDB" w:rsidP="00A51FDB">
      <w:pPr>
        <w:pStyle w:val="Ipara"/>
      </w:pPr>
      <w:r w:rsidRPr="001E4518">
        <w:tab/>
        <w:t>(a)</w:t>
      </w:r>
      <w:r w:rsidRPr="001E4518">
        <w:tab/>
        <w:t>by email; and</w:t>
      </w:r>
    </w:p>
    <w:p w14:paraId="3974E978" w14:textId="77777777" w:rsidR="00A51FDB" w:rsidRPr="001E4518" w:rsidRDefault="00A51FDB" w:rsidP="00A51FDB">
      <w:pPr>
        <w:pStyle w:val="Ipara"/>
      </w:pPr>
      <w:r w:rsidRPr="001E4518">
        <w:tab/>
        <w:t>(b)</w:t>
      </w:r>
      <w:r w:rsidRPr="001E4518">
        <w:tab/>
        <w:t>by telephone; and</w:t>
      </w:r>
    </w:p>
    <w:p w14:paraId="552D7AA8" w14:textId="77777777" w:rsidR="00A51FDB" w:rsidRPr="001E4518" w:rsidRDefault="00A51FDB" w:rsidP="00A51FDB">
      <w:pPr>
        <w:pStyle w:val="Ipara"/>
      </w:pPr>
      <w:r w:rsidRPr="001E4518">
        <w:tab/>
        <w:t>(c)</w:t>
      </w:r>
      <w:r w:rsidRPr="001E4518">
        <w:tab/>
        <w:t>by any other communication channel that the person can use to place a bet with the licensee.</w:t>
      </w:r>
    </w:p>
    <w:p w14:paraId="4CC7659C" w14:textId="77777777" w:rsidR="00A51FDB" w:rsidRPr="001E4518" w:rsidRDefault="00A51FDB" w:rsidP="00A51FDB">
      <w:pPr>
        <w:pStyle w:val="IMain"/>
      </w:pPr>
      <w:r w:rsidRPr="001E4518">
        <w:tab/>
        <w:t>(3)</w:t>
      </w:r>
      <w:r w:rsidRPr="001E4518">
        <w:tab/>
        <w:t>After a licensee has received a request from a person to close their betting account, the licensee</w:t>
      </w:r>
      <w:r w:rsidRPr="001E4518">
        <w:rPr>
          <w:color w:val="000000"/>
        </w:rPr>
        <w:t>—</w:t>
      </w:r>
    </w:p>
    <w:p w14:paraId="1891DEB3" w14:textId="77777777" w:rsidR="00A51FDB" w:rsidRPr="001E4518" w:rsidRDefault="00A51FDB" w:rsidP="00A51FDB">
      <w:pPr>
        <w:pStyle w:val="Ipara"/>
      </w:pPr>
      <w:r w:rsidRPr="001E4518">
        <w:tab/>
        <w:t>(a)</w:t>
      </w:r>
      <w:r w:rsidRPr="001E4518">
        <w:tab/>
        <w:t>must not accept a bet using the account; and</w:t>
      </w:r>
    </w:p>
    <w:p w14:paraId="2F194861" w14:textId="77777777" w:rsidR="00A51FDB" w:rsidRPr="001E4518" w:rsidRDefault="00A51FDB" w:rsidP="00A51FDB">
      <w:pPr>
        <w:pStyle w:val="Ipara"/>
      </w:pPr>
      <w:r w:rsidRPr="001E4518">
        <w:tab/>
        <w:t>(b)</w:t>
      </w:r>
      <w:r w:rsidRPr="001E4518">
        <w:tab/>
        <w:t>must close the account as soon as practicable after all bets made using the account have been settled.</w:t>
      </w:r>
    </w:p>
    <w:p w14:paraId="77FA726C" w14:textId="77777777" w:rsidR="00A51FDB" w:rsidRPr="001E4518" w:rsidRDefault="00A51FDB" w:rsidP="00A51FDB">
      <w:pPr>
        <w:pStyle w:val="IMain"/>
        <w:rPr>
          <w:color w:val="000000"/>
        </w:rPr>
      </w:pPr>
      <w:r w:rsidRPr="001E4518">
        <w:tab/>
        <w:t>(4)</w:t>
      </w:r>
      <w:r w:rsidRPr="001E4518">
        <w:tab/>
        <w:t>If a licensee receives a request from a person to close their betting account, the licensee</w:t>
      </w:r>
      <w:r w:rsidRPr="001E4518">
        <w:rPr>
          <w:color w:val="000000"/>
        </w:rPr>
        <w:t>—</w:t>
      </w:r>
    </w:p>
    <w:p w14:paraId="5E049A7C" w14:textId="77777777" w:rsidR="00A51FDB" w:rsidRPr="001E4518" w:rsidRDefault="00A51FDB" w:rsidP="00A51FDB">
      <w:pPr>
        <w:pStyle w:val="Ipara"/>
      </w:pPr>
      <w:r w:rsidRPr="001E4518">
        <w:tab/>
        <w:t>(a)</w:t>
      </w:r>
      <w:r w:rsidRPr="001E4518">
        <w:tab/>
        <w:t>must not encourage or induce the person to cancel the request; but</w:t>
      </w:r>
    </w:p>
    <w:p w14:paraId="71A76D9F" w14:textId="77777777" w:rsidR="00A51FDB" w:rsidRPr="001E4518" w:rsidRDefault="00A51FDB" w:rsidP="001E4518">
      <w:pPr>
        <w:pStyle w:val="Ipara"/>
        <w:keepNext/>
      </w:pPr>
      <w:r w:rsidRPr="001E4518">
        <w:tab/>
        <w:t>(b)</w:t>
      </w:r>
      <w:r w:rsidRPr="001E4518">
        <w:tab/>
        <w:t>may explain to the person the effects of closing the account and ask the person whether they want to proceed with closing it.</w:t>
      </w:r>
    </w:p>
    <w:p w14:paraId="3F256027" w14:textId="77777777" w:rsidR="00A51FDB" w:rsidRPr="001E4518" w:rsidRDefault="00A51FDB" w:rsidP="00A51FDB">
      <w:pPr>
        <w:pStyle w:val="aNote"/>
      </w:pPr>
      <w:r w:rsidRPr="001E4518">
        <w:rPr>
          <w:rStyle w:val="charItals"/>
        </w:rPr>
        <w:t>Note</w:t>
      </w:r>
      <w:r w:rsidRPr="001E4518">
        <w:rPr>
          <w:rStyle w:val="charItals"/>
        </w:rPr>
        <w:tab/>
      </w:r>
      <w:r w:rsidRPr="001E4518">
        <w:t>A licensee must not send direct marketing to a person after the person has asked to close their betting account (see s 1.30C (3) (b)).</w:t>
      </w:r>
    </w:p>
    <w:p w14:paraId="17E68785" w14:textId="77777777" w:rsidR="00A51FDB" w:rsidRPr="001E4518" w:rsidRDefault="00A51FDB" w:rsidP="00A51FDB">
      <w:pPr>
        <w:pStyle w:val="IH5Sec"/>
      </w:pPr>
      <w:r w:rsidRPr="001E4518">
        <w:lastRenderedPageBreak/>
        <w:t>1.20G</w:t>
      </w:r>
      <w:r w:rsidRPr="001E4518">
        <w:tab/>
        <w:t>Guidelines about betting accounts</w:t>
      </w:r>
    </w:p>
    <w:p w14:paraId="01E9BA82" w14:textId="77777777" w:rsidR="00A51FDB" w:rsidRPr="001E4518" w:rsidRDefault="00A51FDB" w:rsidP="00A51FDB">
      <w:pPr>
        <w:pStyle w:val="IMain"/>
      </w:pPr>
      <w:r w:rsidRPr="001E4518">
        <w:tab/>
        <w:t>(1)</w:t>
      </w:r>
      <w:r w:rsidRPr="001E4518">
        <w:tab/>
        <w:t>The Minister may make guidelines about—</w:t>
      </w:r>
    </w:p>
    <w:p w14:paraId="7EA4C1BF" w14:textId="77777777" w:rsidR="00A51FDB" w:rsidRPr="001E4518" w:rsidRDefault="00A51FDB" w:rsidP="00A51FDB">
      <w:pPr>
        <w:pStyle w:val="Ipara"/>
      </w:pPr>
      <w:r w:rsidRPr="001E4518">
        <w:tab/>
        <w:t>(a)</w:t>
      </w:r>
      <w:r w:rsidRPr="001E4518">
        <w:tab/>
        <w:t>the information a licensee must provide in relation to setting, changing and promoting deposit limits and closing betting accounts; and</w:t>
      </w:r>
    </w:p>
    <w:p w14:paraId="11A9C942" w14:textId="77777777" w:rsidR="00A51FDB" w:rsidRPr="001E4518" w:rsidRDefault="00A51FDB" w:rsidP="00A51FDB">
      <w:pPr>
        <w:pStyle w:val="Ipara"/>
      </w:pPr>
      <w:r w:rsidRPr="001E4518">
        <w:tab/>
        <w:t>(b)</w:t>
      </w:r>
      <w:r w:rsidRPr="001E4518">
        <w:tab/>
        <w:t>the process for setting and changing deposit limits and closing betting accounts.</w:t>
      </w:r>
    </w:p>
    <w:p w14:paraId="399A9FC0" w14:textId="77777777" w:rsidR="00A51FDB" w:rsidRPr="001E4518" w:rsidRDefault="00A51FDB" w:rsidP="00A51FDB">
      <w:pPr>
        <w:pStyle w:val="IMain"/>
      </w:pPr>
      <w:r w:rsidRPr="001E4518">
        <w:tab/>
        <w:t>(2)</w:t>
      </w:r>
      <w:r w:rsidRPr="001E4518">
        <w:tab/>
        <w:t>A guideline made under subsection (1) (a) may include requirements for the following:</w:t>
      </w:r>
    </w:p>
    <w:p w14:paraId="7BEF5A1E" w14:textId="77777777" w:rsidR="00A51FDB" w:rsidRPr="001E4518" w:rsidRDefault="00A51FDB" w:rsidP="00A51FDB">
      <w:pPr>
        <w:pStyle w:val="Ipara"/>
      </w:pPr>
      <w:r w:rsidRPr="001E4518">
        <w:tab/>
        <w:t>(a)</w:t>
      </w:r>
      <w:r w:rsidRPr="001E4518">
        <w:tab/>
        <w:t>the content or form of information to be provided by a licensee;</w:t>
      </w:r>
    </w:p>
    <w:p w14:paraId="28613B25" w14:textId="77777777" w:rsidR="00A51FDB" w:rsidRPr="001E4518" w:rsidRDefault="00A51FDB" w:rsidP="00A51FDB">
      <w:pPr>
        <w:pStyle w:val="Ipara"/>
      </w:pPr>
      <w:r w:rsidRPr="001E4518">
        <w:tab/>
        <w:t>(b)</w:t>
      </w:r>
      <w:r w:rsidRPr="001E4518">
        <w:tab/>
        <w:t>when information must be communicated by a licensee and to whom;</w:t>
      </w:r>
    </w:p>
    <w:p w14:paraId="3526B2DD" w14:textId="77777777" w:rsidR="00A51FDB" w:rsidRPr="001E4518" w:rsidRDefault="00A51FDB" w:rsidP="00A51FDB">
      <w:pPr>
        <w:pStyle w:val="Ipara"/>
      </w:pPr>
      <w:r w:rsidRPr="001E4518">
        <w:tab/>
        <w:t>(c)</w:t>
      </w:r>
      <w:r w:rsidRPr="001E4518">
        <w:tab/>
        <w:t>where or how information must be communicated by a licensee.</w:t>
      </w:r>
    </w:p>
    <w:p w14:paraId="28A89982" w14:textId="77777777" w:rsidR="00A51FDB" w:rsidRPr="001E4518" w:rsidRDefault="00A51FDB" w:rsidP="001E4518">
      <w:pPr>
        <w:pStyle w:val="IMain"/>
        <w:keepNext/>
      </w:pPr>
      <w:r w:rsidRPr="001E4518">
        <w:tab/>
        <w:t>(3)</w:t>
      </w:r>
      <w:r w:rsidRPr="001E4518">
        <w:tab/>
        <w:t>A guideline is a notifiable instrument.</w:t>
      </w:r>
    </w:p>
    <w:p w14:paraId="6715E62B" w14:textId="1CBDF185" w:rsidR="00A51FDB" w:rsidRPr="001E4518" w:rsidRDefault="00A51FDB" w:rsidP="00A51FDB">
      <w:pPr>
        <w:pStyle w:val="aNote"/>
      </w:pPr>
      <w:r w:rsidRPr="001E4518">
        <w:rPr>
          <w:rStyle w:val="charItals"/>
        </w:rPr>
        <w:t>Note</w:t>
      </w:r>
      <w:r w:rsidRPr="001E4518">
        <w:rPr>
          <w:rStyle w:val="charItals"/>
        </w:rPr>
        <w:tab/>
      </w:r>
      <w:r w:rsidRPr="001E4518">
        <w:t xml:space="preserve">A notifiable instrument must be notified under the </w:t>
      </w:r>
      <w:hyperlink r:id="rId23" w:tooltip="A2001-14" w:history="1">
        <w:r w:rsidR="00E804D7" w:rsidRPr="001E4518">
          <w:rPr>
            <w:rStyle w:val="charCitHyperlinkAbbrev"/>
          </w:rPr>
          <w:t>Legislation Act</w:t>
        </w:r>
      </w:hyperlink>
      <w:r w:rsidRPr="001E4518">
        <w:t>.</w:t>
      </w:r>
    </w:p>
    <w:p w14:paraId="4E2BE692" w14:textId="77777777" w:rsidR="00A51FDB" w:rsidRPr="001E4518" w:rsidRDefault="00A51FDB" w:rsidP="00A51FDB">
      <w:pPr>
        <w:pStyle w:val="IH5Sec"/>
      </w:pPr>
      <w:r w:rsidRPr="001E4518">
        <w:t>1.20H</w:t>
      </w:r>
      <w:r w:rsidRPr="001E4518">
        <w:tab/>
        <w:t>Directions about betting accounts</w:t>
      </w:r>
    </w:p>
    <w:p w14:paraId="05395EE9" w14:textId="77777777" w:rsidR="00A51FDB" w:rsidRPr="001E4518" w:rsidRDefault="00A51FDB" w:rsidP="00A51FDB">
      <w:pPr>
        <w:pStyle w:val="IMain"/>
      </w:pPr>
      <w:r w:rsidRPr="001E4518">
        <w:tab/>
        <w:t>(1)</w:t>
      </w:r>
      <w:r w:rsidRPr="001E4518">
        <w:tab/>
        <w:t>The commission may give a written direction to a licensee to ensure compliance with this division.</w:t>
      </w:r>
    </w:p>
    <w:p w14:paraId="04FACB64" w14:textId="77777777" w:rsidR="00A51FDB" w:rsidRPr="001E4518" w:rsidRDefault="00A51FDB" w:rsidP="00A51FDB">
      <w:pPr>
        <w:pStyle w:val="IMain"/>
      </w:pPr>
      <w:r w:rsidRPr="001E4518">
        <w:tab/>
        <w:t>(2)</w:t>
      </w:r>
      <w:r w:rsidRPr="001E4518">
        <w:tab/>
        <w:t>If the commission gives a direction to a licensee, the licensee must comply with the direction.</w:t>
      </w:r>
    </w:p>
    <w:p w14:paraId="24597E64" w14:textId="77777777" w:rsidR="00A51FDB" w:rsidRPr="001E4518" w:rsidRDefault="001E4518" w:rsidP="001E4518">
      <w:pPr>
        <w:pStyle w:val="AH5Sec"/>
        <w:shd w:val="pct25" w:color="auto" w:fill="auto"/>
      </w:pPr>
      <w:bookmarkStart w:id="7" w:name="_Toc9419726"/>
      <w:r w:rsidRPr="001E4518">
        <w:rPr>
          <w:rStyle w:val="CharSectNo"/>
        </w:rPr>
        <w:t>5</w:t>
      </w:r>
      <w:r w:rsidRPr="001E4518">
        <w:tab/>
      </w:r>
      <w:r w:rsidR="00A51FDB" w:rsidRPr="001E4518">
        <w:t>Schedule 1, section 1.30 (6) and example</w:t>
      </w:r>
      <w:bookmarkEnd w:id="7"/>
    </w:p>
    <w:p w14:paraId="18528B9C" w14:textId="77777777" w:rsidR="00A51FDB" w:rsidRPr="001E4518" w:rsidRDefault="00A51FDB" w:rsidP="00A51FDB">
      <w:pPr>
        <w:pStyle w:val="direction"/>
      </w:pPr>
      <w:r w:rsidRPr="001E4518">
        <w:t>substitute</w:t>
      </w:r>
    </w:p>
    <w:p w14:paraId="31C2ABE0" w14:textId="77777777" w:rsidR="00A51FDB" w:rsidRPr="001E4518" w:rsidRDefault="00A51FDB" w:rsidP="00A51FDB">
      <w:pPr>
        <w:pStyle w:val="IMain"/>
        <w:rPr>
          <w:color w:val="000000"/>
        </w:rPr>
      </w:pPr>
      <w:r w:rsidRPr="001E4518">
        <w:tab/>
        <w:t>(6)</w:t>
      </w:r>
      <w:r w:rsidRPr="001E4518">
        <w:tab/>
        <w:t>A totalisator licensee or sports bookmaking licensee must not offer an inducement to a person</w:t>
      </w:r>
      <w:r w:rsidRPr="001E4518">
        <w:rPr>
          <w:color w:val="000000"/>
        </w:rPr>
        <w:t>—</w:t>
      </w:r>
    </w:p>
    <w:p w14:paraId="14487FCD" w14:textId="77777777" w:rsidR="00A51FDB" w:rsidRPr="001E4518" w:rsidRDefault="00A51FDB" w:rsidP="00A51FDB">
      <w:pPr>
        <w:pStyle w:val="Ipara"/>
      </w:pPr>
      <w:r w:rsidRPr="001E4518">
        <w:tab/>
        <w:t>(a)</w:t>
      </w:r>
      <w:r w:rsidRPr="001E4518">
        <w:tab/>
        <w:t>to open a betting account with the licensee; or</w:t>
      </w:r>
    </w:p>
    <w:p w14:paraId="3C5BA3A1" w14:textId="77777777" w:rsidR="00A51FDB" w:rsidRPr="001E4518" w:rsidRDefault="00A51FDB" w:rsidP="00A51FDB">
      <w:pPr>
        <w:pStyle w:val="Ipara"/>
      </w:pPr>
      <w:r w:rsidRPr="001E4518">
        <w:lastRenderedPageBreak/>
        <w:tab/>
        <w:t>(b)</w:t>
      </w:r>
      <w:r w:rsidRPr="001E4518">
        <w:tab/>
        <w:t>to refer another person to open a betting account with the licensee.</w:t>
      </w:r>
    </w:p>
    <w:p w14:paraId="22A12E42" w14:textId="77777777" w:rsidR="00A51FDB" w:rsidRPr="001E4518" w:rsidRDefault="00A51FDB" w:rsidP="00A51FDB">
      <w:pPr>
        <w:pStyle w:val="aExamHdgss"/>
      </w:pPr>
      <w:r w:rsidRPr="001E4518">
        <w:t>Examples—inducements</w:t>
      </w:r>
    </w:p>
    <w:p w14:paraId="1C785A7E" w14:textId="77777777" w:rsidR="00A51FDB" w:rsidRPr="001E4518" w:rsidRDefault="00A51FDB" w:rsidP="00A51FDB">
      <w:pPr>
        <w:pStyle w:val="aExamINumss"/>
      </w:pPr>
      <w:r w:rsidRPr="001E4518">
        <w:t>1</w:t>
      </w:r>
      <w:r w:rsidRPr="001E4518">
        <w:tab/>
        <w:t>free or discounted gambling credits</w:t>
      </w:r>
    </w:p>
    <w:p w14:paraId="5034564F" w14:textId="77777777" w:rsidR="00A51FDB" w:rsidRPr="001E4518" w:rsidRDefault="00A51FDB" w:rsidP="00A51FDB">
      <w:pPr>
        <w:pStyle w:val="aExamINumss"/>
      </w:pPr>
      <w:r w:rsidRPr="001E4518">
        <w:t>2</w:t>
      </w:r>
      <w:r w:rsidRPr="001E4518">
        <w:tab/>
        <w:t>vouchers or other rewards</w:t>
      </w:r>
    </w:p>
    <w:p w14:paraId="02DFF9EE" w14:textId="77777777" w:rsidR="00A51FDB" w:rsidRPr="001E4518" w:rsidRDefault="00A51FDB" w:rsidP="00A51FDB">
      <w:pPr>
        <w:pStyle w:val="IMain"/>
      </w:pPr>
      <w:r w:rsidRPr="001E4518">
        <w:tab/>
        <w:t>(6A)</w:t>
      </w:r>
      <w:r w:rsidRPr="001E4518">
        <w:tab/>
        <w:t xml:space="preserve">A totalisator licensee or sports bookmaking licensee must not give or offer a person a complimentary or discounted betting credit or token (a </w:t>
      </w:r>
      <w:r w:rsidRPr="001E4518">
        <w:rPr>
          <w:rStyle w:val="charBoldItals"/>
        </w:rPr>
        <w:t>bonus bet</w:t>
      </w:r>
      <w:r w:rsidRPr="001E4518">
        <w:t>) unless any winnings from the bonus bet</w:t>
      </w:r>
      <w:r w:rsidRPr="001E4518">
        <w:rPr>
          <w:color w:val="000000"/>
        </w:rPr>
        <w:t>—</w:t>
      </w:r>
    </w:p>
    <w:p w14:paraId="6583E225" w14:textId="77777777" w:rsidR="00A51FDB" w:rsidRPr="001E4518" w:rsidRDefault="00A51FDB" w:rsidP="00A51FDB">
      <w:pPr>
        <w:pStyle w:val="Ipara"/>
      </w:pPr>
      <w:r w:rsidRPr="001E4518">
        <w:tab/>
        <w:t>(a)</w:t>
      </w:r>
      <w:r w:rsidRPr="001E4518">
        <w:tab/>
        <w:t xml:space="preserve">can be withdrawn by the person; and </w:t>
      </w:r>
    </w:p>
    <w:p w14:paraId="0F87989D" w14:textId="77777777" w:rsidR="00A51FDB" w:rsidRPr="001E4518" w:rsidRDefault="00A51FDB" w:rsidP="00A51FDB">
      <w:pPr>
        <w:pStyle w:val="Ipara"/>
      </w:pPr>
      <w:r w:rsidRPr="001E4518">
        <w:tab/>
        <w:t>(b)</w:t>
      </w:r>
      <w:r w:rsidRPr="001E4518">
        <w:tab/>
        <w:t>are not subject to a requirement that they be used to place further bets.</w:t>
      </w:r>
    </w:p>
    <w:p w14:paraId="5FF66A1E" w14:textId="77777777" w:rsidR="00A51FDB" w:rsidRPr="001E4518" w:rsidRDefault="001E4518" w:rsidP="001E4518">
      <w:pPr>
        <w:pStyle w:val="AH5Sec"/>
        <w:shd w:val="pct25" w:color="auto" w:fill="auto"/>
      </w:pPr>
      <w:bookmarkStart w:id="8" w:name="_Toc9419727"/>
      <w:r w:rsidRPr="001E4518">
        <w:rPr>
          <w:rStyle w:val="CharSectNo"/>
        </w:rPr>
        <w:t>6</w:t>
      </w:r>
      <w:r w:rsidRPr="001E4518">
        <w:tab/>
      </w:r>
      <w:r w:rsidR="00A51FDB" w:rsidRPr="001E4518">
        <w:t>Schedule 1, section 1.30 (9), new definitions</w:t>
      </w:r>
      <w:bookmarkEnd w:id="8"/>
    </w:p>
    <w:p w14:paraId="0B51EBC0" w14:textId="77777777" w:rsidR="00A51FDB" w:rsidRPr="001E4518" w:rsidRDefault="00A51FDB" w:rsidP="00A51FDB">
      <w:pPr>
        <w:pStyle w:val="direction"/>
      </w:pPr>
      <w:r w:rsidRPr="001E4518">
        <w:t>insert</w:t>
      </w:r>
    </w:p>
    <w:p w14:paraId="60CDD8F9" w14:textId="77777777" w:rsidR="00A51FDB" w:rsidRPr="001E4518" w:rsidRDefault="00A51FDB" w:rsidP="001E4518">
      <w:pPr>
        <w:pStyle w:val="aDef"/>
      </w:pPr>
      <w:r w:rsidRPr="001E4518">
        <w:rPr>
          <w:rStyle w:val="charBoldItals"/>
        </w:rPr>
        <w:t>betting account—</w:t>
      </w:r>
      <w:r w:rsidRPr="001E4518">
        <w:t>see section 1.20B.</w:t>
      </w:r>
    </w:p>
    <w:p w14:paraId="5409B973" w14:textId="77777777" w:rsidR="00A51FDB" w:rsidRPr="001E4518" w:rsidRDefault="00A51FDB" w:rsidP="001E4518">
      <w:pPr>
        <w:pStyle w:val="aDef"/>
      </w:pPr>
      <w:r w:rsidRPr="001E4518">
        <w:rPr>
          <w:rStyle w:val="charBoldItals"/>
        </w:rPr>
        <w:t>winnings</w:t>
      </w:r>
      <w:r w:rsidRPr="001E4518">
        <w:t>, from a bonus bet by a person, means the amount to be paid or credited to the person if the bet is successful.</w:t>
      </w:r>
    </w:p>
    <w:p w14:paraId="141C4753" w14:textId="77777777" w:rsidR="00A51FDB" w:rsidRPr="001E4518" w:rsidRDefault="001E4518" w:rsidP="001E4518">
      <w:pPr>
        <w:pStyle w:val="AH5Sec"/>
        <w:shd w:val="pct25" w:color="auto" w:fill="auto"/>
      </w:pPr>
      <w:bookmarkStart w:id="9" w:name="_Toc9419728"/>
      <w:r w:rsidRPr="001E4518">
        <w:rPr>
          <w:rStyle w:val="CharSectNo"/>
        </w:rPr>
        <w:t>7</w:t>
      </w:r>
      <w:r w:rsidRPr="001E4518">
        <w:tab/>
      </w:r>
      <w:r w:rsidR="00A51FDB" w:rsidRPr="001E4518">
        <w:t>Schedule 1, section 1.30B heading</w:t>
      </w:r>
      <w:bookmarkEnd w:id="9"/>
    </w:p>
    <w:p w14:paraId="1BE8E6C3" w14:textId="77777777" w:rsidR="00A51FDB" w:rsidRPr="001E4518" w:rsidRDefault="00A51FDB" w:rsidP="00A51FDB">
      <w:pPr>
        <w:pStyle w:val="direction"/>
      </w:pPr>
      <w:r w:rsidRPr="001E4518">
        <w:t>substitute</w:t>
      </w:r>
    </w:p>
    <w:p w14:paraId="50E995BD" w14:textId="77777777" w:rsidR="00A51FDB" w:rsidRPr="001E4518" w:rsidRDefault="00A51FDB" w:rsidP="00A51FDB">
      <w:pPr>
        <w:pStyle w:val="IH5Sec"/>
        <w:rPr>
          <w:color w:val="000000"/>
        </w:rPr>
      </w:pPr>
      <w:r w:rsidRPr="001E4518">
        <w:t>1.30B</w:t>
      </w:r>
      <w:r w:rsidRPr="001E4518">
        <w:tab/>
        <w:t>Personally addressed promotional material</w:t>
      </w:r>
      <w:r w:rsidRPr="001E4518">
        <w:rPr>
          <w:color w:val="000000"/>
        </w:rPr>
        <w:t>—gaming machine and casino licensees</w:t>
      </w:r>
    </w:p>
    <w:p w14:paraId="2C2257C4" w14:textId="77777777" w:rsidR="00A51FDB" w:rsidRPr="001E4518" w:rsidRDefault="001E4518" w:rsidP="001E4518">
      <w:pPr>
        <w:pStyle w:val="AH5Sec"/>
        <w:shd w:val="pct25" w:color="auto" w:fill="auto"/>
      </w:pPr>
      <w:bookmarkStart w:id="10" w:name="_Toc9419729"/>
      <w:r w:rsidRPr="001E4518">
        <w:rPr>
          <w:rStyle w:val="CharSectNo"/>
        </w:rPr>
        <w:t>8</w:t>
      </w:r>
      <w:r w:rsidRPr="001E4518">
        <w:tab/>
      </w:r>
      <w:r w:rsidR="00A51FDB" w:rsidRPr="001E4518">
        <w:t>Schedule 1, section 1.30B (1)</w:t>
      </w:r>
      <w:bookmarkEnd w:id="10"/>
    </w:p>
    <w:p w14:paraId="3C8DC774" w14:textId="77777777" w:rsidR="00A51FDB" w:rsidRPr="001E4518" w:rsidRDefault="00A51FDB" w:rsidP="00A51FDB">
      <w:pPr>
        <w:pStyle w:val="direction"/>
      </w:pPr>
      <w:r w:rsidRPr="001E4518">
        <w:t>substitute</w:t>
      </w:r>
    </w:p>
    <w:p w14:paraId="26299166" w14:textId="77777777" w:rsidR="00A51FDB" w:rsidRPr="001E4518" w:rsidRDefault="00A51FDB" w:rsidP="00A51FDB">
      <w:pPr>
        <w:pStyle w:val="IMain"/>
      </w:pPr>
      <w:r w:rsidRPr="001E4518">
        <w:tab/>
        <w:t>(1)</w:t>
      </w:r>
      <w:r w:rsidRPr="001E4518">
        <w:tab/>
        <w:t>This section applies only to a gaming machine licensee or casino licensee.</w:t>
      </w:r>
    </w:p>
    <w:p w14:paraId="23BBAAE2" w14:textId="77777777" w:rsidR="00A51FDB" w:rsidRPr="001E4518" w:rsidRDefault="001E4518" w:rsidP="001E4518">
      <w:pPr>
        <w:pStyle w:val="AH5Sec"/>
        <w:shd w:val="pct25" w:color="auto" w:fill="auto"/>
      </w:pPr>
      <w:bookmarkStart w:id="11" w:name="_Toc9419730"/>
      <w:r w:rsidRPr="001E4518">
        <w:rPr>
          <w:rStyle w:val="CharSectNo"/>
        </w:rPr>
        <w:lastRenderedPageBreak/>
        <w:t>9</w:t>
      </w:r>
      <w:r w:rsidRPr="001E4518">
        <w:tab/>
      </w:r>
      <w:r w:rsidR="00A51FDB" w:rsidRPr="001E4518">
        <w:t>Schedule 1, new sections 1.30C and 1.30D</w:t>
      </w:r>
      <w:bookmarkEnd w:id="11"/>
    </w:p>
    <w:p w14:paraId="719755BF" w14:textId="77777777" w:rsidR="00A51FDB" w:rsidRPr="001E4518" w:rsidRDefault="00A51FDB" w:rsidP="00A51FDB">
      <w:pPr>
        <w:pStyle w:val="direction"/>
      </w:pPr>
      <w:r w:rsidRPr="001E4518">
        <w:t>insert</w:t>
      </w:r>
    </w:p>
    <w:p w14:paraId="55C182B0" w14:textId="77777777" w:rsidR="00A51FDB" w:rsidRPr="001E4518" w:rsidRDefault="00A51FDB" w:rsidP="00A51FDB">
      <w:pPr>
        <w:pStyle w:val="IH5Sec"/>
        <w:rPr>
          <w:color w:val="000000"/>
        </w:rPr>
      </w:pPr>
      <w:r w:rsidRPr="001E4518">
        <w:t>1.30C</w:t>
      </w:r>
      <w:r w:rsidRPr="001E4518">
        <w:tab/>
        <w:t>Direct marketing</w:t>
      </w:r>
      <w:r w:rsidRPr="001E4518">
        <w:rPr>
          <w:color w:val="000000"/>
        </w:rPr>
        <w:t>—totalisator and sports bookmaking licensees</w:t>
      </w:r>
    </w:p>
    <w:p w14:paraId="7BBF6EFA" w14:textId="77777777" w:rsidR="00A51FDB" w:rsidRPr="001E4518" w:rsidRDefault="00A51FDB" w:rsidP="00A51FDB">
      <w:pPr>
        <w:pStyle w:val="IMain"/>
      </w:pPr>
      <w:r w:rsidRPr="001E4518">
        <w:tab/>
        <w:t>(1)</w:t>
      </w:r>
      <w:r w:rsidRPr="001E4518">
        <w:tab/>
        <w:t>This section applies only to a totalisator licensee or sports bookmaking licensee.</w:t>
      </w:r>
    </w:p>
    <w:p w14:paraId="7A11733D" w14:textId="77777777" w:rsidR="00A51FDB" w:rsidRPr="001E4518" w:rsidRDefault="00A51FDB" w:rsidP="00A51FDB">
      <w:pPr>
        <w:pStyle w:val="IMain"/>
        <w:rPr>
          <w:color w:val="000000"/>
        </w:rPr>
      </w:pPr>
      <w:r w:rsidRPr="001E4518">
        <w:tab/>
        <w:t>(2)</w:t>
      </w:r>
      <w:r w:rsidRPr="001E4518">
        <w:tab/>
        <w:t>The licensee</w:t>
      </w:r>
      <w:r w:rsidRPr="001E4518">
        <w:rPr>
          <w:color w:val="000000"/>
        </w:rPr>
        <w:t xml:space="preserve"> must ensure that the licensee’s direct marketing is not sent to a person unless—</w:t>
      </w:r>
    </w:p>
    <w:p w14:paraId="0A7EE645" w14:textId="77777777" w:rsidR="00A51FDB" w:rsidRPr="001E4518" w:rsidRDefault="00A51FDB" w:rsidP="00A51FDB">
      <w:pPr>
        <w:pStyle w:val="Ipara"/>
      </w:pPr>
      <w:r w:rsidRPr="001E4518">
        <w:tab/>
        <w:t>(a)</w:t>
      </w:r>
      <w:r w:rsidRPr="001E4518">
        <w:tab/>
        <w:t>the person has expressly consented to receive the direct marketing; and</w:t>
      </w:r>
    </w:p>
    <w:p w14:paraId="4154A954" w14:textId="77777777" w:rsidR="00A51FDB" w:rsidRPr="001E4518" w:rsidRDefault="00A51FDB" w:rsidP="00A51FDB">
      <w:pPr>
        <w:pStyle w:val="Ipara"/>
      </w:pPr>
      <w:r w:rsidRPr="001E4518">
        <w:tab/>
        <w:t>(b)</w:t>
      </w:r>
      <w:r w:rsidRPr="001E4518">
        <w:tab/>
        <w:t>the direct marketing complies with any guidelines made under section 1.30D.</w:t>
      </w:r>
    </w:p>
    <w:p w14:paraId="67F0C132" w14:textId="01040EC4" w:rsidR="00A51FDB" w:rsidRPr="001E4518" w:rsidRDefault="00A51FDB" w:rsidP="00A51FDB">
      <w:pPr>
        <w:pStyle w:val="IMain"/>
        <w:rPr>
          <w:color w:val="000000"/>
        </w:rPr>
      </w:pPr>
      <w:r w:rsidRPr="001E4518">
        <w:rPr>
          <w:color w:val="000000"/>
        </w:rPr>
        <w:tab/>
        <w:t>(3)</w:t>
      </w:r>
      <w:r w:rsidRPr="001E4518">
        <w:rPr>
          <w:color w:val="000000"/>
        </w:rPr>
        <w:tab/>
        <w:t>The licensee must ensure that the licensee’s direct marketing is not sent to a person after 5</w:t>
      </w:r>
      <w:r w:rsidR="00E51046">
        <w:rPr>
          <w:color w:val="000000"/>
        </w:rPr>
        <w:t xml:space="preserve"> business</w:t>
      </w:r>
      <w:r w:rsidRPr="001E4518">
        <w:rPr>
          <w:color w:val="000000"/>
        </w:rPr>
        <w:t xml:space="preserve"> days from the date </w:t>
      </w:r>
      <w:r w:rsidRPr="001E4518">
        <w:t>a request is received from the person to</w:t>
      </w:r>
      <w:r w:rsidRPr="001E4518">
        <w:rPr>
          <w:color w:val="000000"/>
        </w:rPr>
        <w:t>—</w:t>
      </w:r>
    </w:p>
    <w:p w14:paraId="1A309886" w14:textId="77777777" w:rsidR="00A51FDB" w:rsidRPr="001E4518" w:rsidRDefault="00A51FDB" w:rsidP="00A51FDB">
      <w:pPr>
        <w:pStyle w:val="Ipara"/>
      </w:pPr>
      <w:r w:rsidRPr="001E4518">
        <w:tab/>
        <w:t>(a)</w:t>
      </w:r>
      <w:r w:rsidRPr="001E4518">
        <w:tab/>
        <w:t xml:space="preserve">stop getting the direct marketing; or </w:t>
      </w:r>
    </w:p>
    <w:p w14:paraId="5557FBBC" w14:textId="77777777" w:rsidR="00A51FDB" w:rsidRPr="001E4518" w:rsidRDefault="00A51FDB" w:rsidP="00A51FDB">
      <w:pPr>
        <w:pStyle w:val="Ipara"/>
        <w:rPr>
          <w:color w:val="000000"/>
        </w:rPr>
      </w:pPr>
      <w:r w:rsidRPr="001E4518">
        <w:tab/>
        <w:t>(b)</w:t>
      </w:r>
      <w:r w:rsidRPr="001E4518">
        <w:tab/>
        <w:t>close their betting account.</w:t>
      </w:r>
    </w:p>
    <w:p w14:paraId="2B6137D6" w14:textId="77777777" w:rsidR="00A51FDB" w:rsidRPr="001E4518" w:rsidRDefault="00A51FDB" w:rsidP="00A51FDB">
      <w:pPr>
        <w:pStyle w:val="IMain"/>
        <w:rPr>
          <w:color w:val="000000"/>
        </w:rPr>
      </w:pPr>
      <w:r w:rsidRPr="001E4518">
        <w:rPr>
          <w:color w:val="000000"/>
        </w:rPr>
        <w:tab/>
        <w:t>(4)</w:t>
      </w:r>
      <w:r w:rsidRPr="001E4518">
        <w:rPr>
          <w:color w:val="000000"/>
        </w:rPr>
        <w:tab/>
        <w:t>In this section:</w:t>
      </w:r>
    </w:p>
    <w:p w14:paraId="4BA7CCBB" w14:textId="77777777" w:rsidR="00A51FDB" w:rsidRPr="001E4518" w:rsidRDefault="00A51FDB" w:rsidP="001E4518">
      <w:pPr>
        <w:pStyle w:val="aDef"/>
      </w:pPr>
      <w:r w:rsidRPr="001E4518">
        <w:rPr>
          <w:rStyle w:val="charBoldItals"/>
        </w:rPr>
        <w:t>direct marketing</w:t>
      </w:r>
      <w:r w:rsidRPr="001E4518">
        <w:t xml:space="preserve"> includes any advertising, promotion or offer from a licensee, or from a person on the licensee’s behalf, that is made directly to a person by telephone, SMS, email, internet application, post or other direct means.</w:t>
      </w:r>
    </w:p>
    <w:p w14:paraId="7F66006A" w14:textId="77777777" w:rsidR="00A51FDB" w:rsidRPr="001E4518" w:rsidRDefault="00A51FDB" w:rsidP="00A51FDB">
      <w:pPr>
        <w:pStyle w:val="IH5Sec"/>
        <w:rPr>
          <w:color w:val="000000"/>
        </w:rPr>
      </w:pPr>
      <w:r w:rsidRPr="001E4518">
        <w:t>1.30D</w:t>
      </w:r>
      <w:r w:rsidRPr="001E4518">
        <w:tab/>
        <w:t xml:space="preserve">Guidelines for direct marketing by </w:t>
      </w:r>
      <w:r w:rsidRPr="001E4518">
        <w:rPr>
          <w:color w:val="000000"/>
        </w:rPr>
        <w:t>totalisator and sports bookmaking licensees</w:t>
      </w:r>
    </w:p>
    <w:p w14:paraId="072AE496" w14:textId="77777777" w:rsidR="00A51FDB" w:rsidRPr="001E4518" w:rsidRDefault="00A51FDB" w:rsidP="00A51FDB">
      <w:pPr>
        <w:pStyle w:val="IMain"/>
      </w:pPr>
      <w:r w:rsidRPr="001E4518">
        <w:tab/>
        <w:t>(1)</w:t>
      </w:r>
      <w:r w:rsidRPr="001E4518">
        <w:tab/>
        <w:t>The Minister may make guidelines about direct marketing by a totalisator licensee or sports bookmaking licensee.</w:t>
      </w:r>
    </w:p>
    <w:p w14:paraId="13900E8F" w14:textId="77777777" w:rsidR="00A51FDB" w:rsidRPr="001E4518" w:rsidRDefault="00A51FDB" w:rsidP="001E4518">
      <w:pPr>
        <w:pStyle w:val="IMain"/>
        <w:keepNext/>
      </w:pPr>
      <w:r w:rsidRPr="001E4518">
        <w:lastRenderedPageBreak/>
        <w:tab/>
        <w:t>(2)</w:t>
      </w:r>
      <w:r w:rsidRPr="001E4518">
        <w:tab/>
        <w:t>A guideline is a notifiable instrument.</w:t>
      </w:r>
    </w:p>
    <w:p w14:paraId="188B430B" w14:textId="3DE747E5" w:rsidR="00A51FDB" w:rsidRPr="001E4518" w:rsidRDefault="00A51FDB" w:rsidP="00A51FDB">
      <w:pPr>
        <w:pStyle w:val="aNote"/>
      </w:pPr>
      <w:r w:rsidRPr="001E4518">
        <w:rPr>
          <w:rStyle w:val="charItals"/>
        </w:rPr>
        <w:t>Note</w:t>
      </w:r>
      <w:r w:rsidRPr="001E4518">
        <w:rPr>
          <w:rStyle w:val="charItals"/>
        </w:rPr>
        <w:tab/>
      </w:r>
      <w:r w:rsidRPr="001E4518">
        <w:t xml:space="preserve">A notifiable instrument must be notified under the </w:t>
      </w:r>
      <w:hyperlink r:id="rId24" w:tooltip="A2001-14" w:history="1">
        <w:r w:rsidR="00E804D7" w:rsidRPr="001E4518">
          <w:rPr>
            <w:rStyle w:val="charCitHyperlinkAbbrev"/>
          </w:rPr>
          <w:t>Legislation Act</w:t>
        </w:r>
      </w:hyperlink>
      <w:r w:rsidRPr="001E4518">
        <w:t>.</w:t>
      </w:r>
    </w:p>
    <w:p w14:paraId="3197AE3A" w14:textId="77777777" w:rsidR="00A51FDB" w:rsidRPr="001E4518" w:rsidRDefault="00A51FDB" w:rsidP="00A51FDB">
      <w:pPr>
        <w:pStyle w:val="IMain"/>
        <w:rPr>
          <w:color w:val="000000"/>
        </w:rPr>
      </w:pPr>
      <w:r w:rsidRPr="001E4518">
        <w:rPr>
          <w:color w:val="000000"/>
        </w:rPr>
        <w:tab/>
        <w:t>(3)</w:t>
      </w:r>
      <w:r w:rsidRPr="001E4518">
        <w:rPr>
          <w:color w:val="000000"/>
        </w:rPr>
        <w:tab/>
        <w:t>In this section:</w:t>
      </w:r>
    </w:p>
    <w:p w14:paraId="2303A783" w14:textId="77777777" w:rsidR="00A51FDB" w:rsidRPr="001E4518" w:rsidRDefault="00A51FDB" w:rsidP="001E4518">
      <w:pPr>
        <w:pStyle w:val="aDef"/>
      </w:pPr>
      <w:r w:rsidRPr="001E4518">
        <w:rPr>
          <w:rStyle w:val="charBoldItals"/>
        </w:rPr>
        <w:t>direct marketing</w:t>
      </w:r>
      <w:r w:rsidRPr="001E4518">
        <w:rPr>
          <w:color w:val="000000"/>
        </w:rPr>
        <w:t>—see section 1.30C.</w:t>
      </w:r>
      <w:r w:rsidRPr="001E4518">
        <w:t xml:space="preserve"> </w:t>
      </w:r>
    </w:p>
    <w:p w14:paraId="5E3E0828" w14:textId="77777777" w:rsidR="00A51FDB" w:rsidRPr="001E4518" w:rsidRDefault="001E4518" w:rsidP="001E4518">
      <w:pPr>
        <w:pStyle w:val="AH5Sec"/>
        <w:shd w:val="pct25" w:color="auto" w:fill="auto"/>
      </w:pPr>
      <w:bookmarkStart w:id="12" w:name="_Toc9419731"/>
      <w:r w:rsidRPr="001E4518">
        <w:rPr>
          <w:rStyle w:val="CharSectNo"/>
        </w:rPr>
        <w:t>10</w:t>
      </w:r>
      <w:r w:rsidRPr="001E4518">
        <w:tab/>
      </w:r>
      <w:r w:rsidR="00A51FDB" w:rsidRPr="001E4518">
        <w:t>Schedule 1, section 1.31 (1)</w:t>
      </w:r>
      <w:bookmarkEnd w:id="12"/>
    </w:p>
    <w:p w14:paraId="0CCBCFE2" w14:textId="77777777" w:rsidR="00A51FDB" w:rsidRPr="001E4518" w:rsidRDefault="00A51FDB" w:rsidP="00A51FDB">
      <w:pPr>
        <w:pStyle w:val="direction"/>
      </w:pPr>
      <w:r w:rsidRPr="001E4518">
        <w:t>substitute</w:t>
      </w:r>
    </w:p>
    <w:p w14:paraId="01F2D36B" w14:textId="77777777" w:rsidR="00A51FDB" w:rsidRPr="001E4518" w:rsidRDefault="00A51FDB" w:rsidP="00A51FDB">
      <w:pPr>
        <w:pStyle w:val="IMain"/>
      </w:pPr>
      <w:r w:rsidRPr="001E4518">
        <w:tab/>
        <w:t>(1)</w:t>
      </w:r>
      <w:r w:rsidRPr="001E4518">
        <w:tab/>
        <w:t>The commission may give a written direction to a licensee to ensure compliance with this part.</w:t>
      </w:r>
    </w:p>
    <w:p w14:paraId="5BA559D4" w14:textId="77777777" w:rsidR="00A51FDB" w:rsidRPr="001E4518" w:rsidRDefault="001E4518" w:rsidP="001E4518">
      <w:pPr>
        <w:pStyle w:val="AH5Sec"/>
        <w:shd w:val="pct25" w:color="auto" w:fill="auto"/>
      </w:pPr>
      <w:bookmarkStart w:id="13" w:name="_Toc9419732"/>
      <w:r w:rsidRPr="001E4518">
        <w:rPr>
          <w:rStyle w:val="CharSectNo"/>
        </w:rPr>
        <w:t>11</w:t>
      </w:r>
      <w:r w:rsidRPr="001E4518">
        <w:tab/>
      </w:r>
      <w:r w:rsidR="00A51FDB" w:rsidRPr="001E4518">
        <w:t>Schedule 1, new part 1.10</w:t>
      </w:r>
      <w:bookmarkEnd w:id="13"/>
    </w:p>
    <w:p w14:paraId="71740F6E" w14:textId="77777777" w:rsidR="00A51FDB" w:rsidRPr="001E4518" w:rsidRDefault="00A51FDB" w:rsidP="00A51FDB">
      <w:pPr>
        <w:pStyle w:val="direction"/>
      </w:pPr>
      <w:r w:rsidRPr="001E4518">
        <w:t>insert</w:t>
      </w:r>
    </w:p>
    <w:p w14:paraId="0C80D1A5" w14:textId="77777777" w:rsidR="00A51FDB" w:rsidRPr="001E4518" w:rsidRDefault="00A51FDB" w:rsidP="00A51FDB">
      <w:pPr>
        <w:pStyle w:val="ISched-Part"/>
        <w:rPr>
          <w:color w:val="000000"/>
        </w:rPr>
      </w:pPr>
      <w:r w:rsidRPr="001E4518">
        <w:t>Part 1.10</w:t>
      </w:r>
      <w:r w:rsidRPr="001E4518">
        <w:tab/>
        <w:t>Transitional</w:t>
      </w:r>
      <w:r w:rsidRPr="001E4518">
        <w:rPr>
          <w:color w:val="000000"/>
        </w:rPr>
        <w:t>—Gambling and Racing Control (Code of Practice) Amendment Regulation</w:t>
      </w:r>
      <w:r w:rsidR="00AC2497" w:rsidRPr="001E4518">
        <w:rPr>
          <w:color w:val="000000"/>
        </w:rPr>
        <w:t> </w:t>
      </w:r>
      <w:r w:rsidRPr="001E4518">
        <w:rPr>
          <w:color w:val="000000"/>
        </w:rPr>
        <w:t>2019 (No 1)</w:t>
      </w:r>
    </w:p>
    <w:p w14:paraId="44F762F6" w14:textId="77777777" w:rsidR="00A51FDB" w:rsidRPr="001E4518" w:rsidRDefault="00A51FDB" w:rsidP="00FA5B77">
      <w:pPr>
        <w:pStyle w:val="IH5Sec"/>
      </w:pPr>
      <w:r w:rsidRPr="001E4518">
        <w:t>1.100</w:t>
      </w:r>
      <w:r w:rsidRPr="001E4518">
        <w:tab/>
        <w:t>Existing account holders</w:t>
      </w:r>
      <w:r w:rsidRPr="001E4518">
        <w:rPr>
          <w:color w:val="000000"/>
        </w:rPr>
        <w:t>—</w:t>
      </w:r>
      <w:r w:rsidRPr="001E4518">
        <w:t>deposit limits</w:t>
      </w:r>
    </w:p>
    <w:p w14:paraId="619C3DCC" w14:textId="77777777" w:rsidR="00A51FDB" w:rsidRPr="001E4518" w:rsidRDefault="00A51FDB" w:rsidP="00A51FDB">
      <w:pPr>
        <w:pStyle w:val="IMain"/>
      </w:pPr>
      <w:r w:rsidRPr="001E4518">
        <w:tab/>
        <w:t>(1)</w:t>
      </w:r>
      <w:r w:rsidRPr="001E4518">
        <w:tab/>
        <w:t>Within 6 months after the commencement day, a licensee must—</w:t>
      </w:r>
    </w:p>
    <w:p w14:paraId="41FBB16C" w14:textId="77777777" w:rsidR="00A51FDB" w:rsidRPr="001E4518" w:rsidRDefault="00A51FDB" w:rsidP="00A51FDB">
      <w:pPr>
        <w:pStyle w:val="Ipara"/>
      </w:pPr>
      <w:r w:rsidRPr="001E4518">
        <w:tab/>
        <w:t>(a)</w:t>
      </w:r>
      <w:r w:rsidRPr="001E4518">
        <w:tab/>
        <w:t xml:space="preserve">tell each existing account holder of the licensee that they can set a deposit limit for their betting account; and </w:t>
      </w:r>
    </w:p>
    <w:p w14:paraId="6FD24ECE" w14:textId="77777777" w:rsidR="00A51FDB" w:rsidRPr="001E4518" w:rsidRDefault="00A51FDB" w:rsidP="00A51FDB">
      <w:pPr>
        <w:pStyle w:val="Ipara"/>
      </w:pPr>
      <w:r w:rsidRPr="001E4518">
        <w:tab/>
        <w:t>(b)</w:t>
      </w:r>
      <w:r w:rsidRPr="001E4518">
        <w:tab/>
        <w:t>ask each account holder whether they want to set a deposit limit.</w:t>
      </w:r>
    </w:p>
    <w:p w14:paraId="7226151E" w14:textId="77777777" w:rsidR="00A51FDB" w:rsidRPr="001E4518" w:rsidRDefault="00A51FDB" w:rsidP="00A51FDB">
      <w:pPr>
        <w:pStyle w:val="IMain"/>
      </w:pPr>
      <w:r w:rsidRPr="001E4518">
        <w:tab/>
        <w:t>(2)</w:t>
      </w:r>
      <w:r w:rsidRPr="001E4518">
        <w:tab/>
        <w:t>For the purposes of section 1.20C (2), the initial 12-month period for an existing account holder begins on the day the licensee asks the account holder, under subsection (1) (b), whether they want to set a deposit limit.</w:t>
      </w:r>
    </w:p>
    <w:p w14:paraId="3A050979" w14:textId="77777777" w:rsidR="00A51FDB" w:rsidRPr="001E4518" w:rsidRDefault="00A51FDB" w:rsidP="00ED6777">
      <w:pPr>
        <w:pStyle w:val="IMain"/>
        <w:keepNext/>
      </w:pPr>
      <w:r w:rsidRPr="001E4518">
        <w:lastRenderedPageBreak/>
        <w:tab/>
        <w:t>(3)</w:t>
      </w:r>
      <w:r w:rsidRPr="001E4518">
        <w:tab/>
        <w:t>In this section:</w:t>
      </w:r>
    </w:p>
    <w:p w14:paraId="6E493E3F" w14:textId="77777777" w:rsidR="00A51FDB" w:rsidRPr="001E4518" w:rsidRDefault="00A51FDB" w:rsidP="001E4518">
      <w:pPr>
        <w:pStyle w:val="aDef"/>
      </w:pPr>
      <w:r w:rsidRPr="001E4518">
        <w:rPr>
          <w:rStyle w:val="charBoldItals"/>
        </w:rPr>
        <w:t>betting account</w:t>
      </w:r>
      <w:r w:rsidRPr="001E4518">
        <w:rPr>
          <w:color w:val="000000"/>
        </w:rPr>
        <w:t>—see section 1.20B</w:t>
      </w:r>
    </w:p>
    <w:p w14:paraId="0AE5E82F" w14:textId="77777777" w:rsidR="00A51FDB" w:rsidRPr="001E4518" w:rsidRDefault="00A51FDB" w:rsidP="001E4518">
      <w:pPr>
        <w:pStyle w:val="aDef"/>
      </w:pPr>
      <w:r w:rsidRPr="001E4518">
        <w:rPr>
          <w:rStyle w:val="charBoldItals"/>
        </w:rPr>
        <w:t xml:space="preserve">commencement day </w:t>
      </w:r>
      <w:r w:rsidRPr="001E4518">
        <w:t xml:space="preserve">means the day the </w:t>
      </w:r>
      <w:r w:rsidRPr="001E4518">
        <w:rPr>
          <w:rStyle w:val="charItals"/>
        </w:rPr>
        <w:t>Gambling and Racing Control (Code of Practice) Amendment Regulation 2019 (No 1)</w:t>
      </w:r>
      <w:r w:rsidRPr="001E4518">
        <w:rPr>
          <w:color w:val="000000"/>
        </w:rPr>
        <w:t>, section 3 commences.</w:t>
      </w:r>
    </w:p>
    <w:p w14:paraId="3108F8C4" w14:textId="77777777" w:rsidR="00A51FDB" w:rsidRPr="001E4518" w:rsidRDefault="00A51FDB" w:rsidP="001E4518">
      <w:pPr>
        <w:pStyle w:val="aDef"/>
      </w:pPr>
      <w:r w:rsidRPr="001E4518">
        <w:rPr>
          <w:rStyle w:val="charBoldItals"/>
        </w:rPr>
        <w:t>deposit limit</w:t>
      </w:r>
      <w:r w:rsidRPr="001E4518">
        <w:rPr>
          <w:color w:val="000000"/>
        </w:rPr>
        <w:t>—see section 1.20B.</w:t>
      </w:r>
    </w:p>
    <w:p w14:paraId="403C38B1" w14:textId="77777777" w:rsidR="00A51FDB" w:rsidRPr="001E4518" w:rsidRDefault="00A51FDB" w:rsidP="001E4518">
      <w:pPr>
        <w:pStyle w:val="aDef"/>
      </w:pPr>
      <w:r w:rsidRPr="001E4518">
        <w:rPr>
          <w:rStyle w:val="charBoldItals"/>
        </w:rPr>
        <w:t>existing account holder</w:t>
      </w:r>
      <w:r w:rsidRPr="001E4518">
        <w:t xml:space="preserve"> means a person who holds a betting account with a licensee that has been used to make or settle a bet within 12 months before the commencement day.</w:t>
      </w:r>
    </w:p>
    <w:p w14:paraId="6157AEB2" w14:textId="77777777" w:rsidR="00A51FDB" w:rsidRPr="001E4518" w:rsidRDefault="00A51FDB" w:rsidP="001E4518">
      <w:pPr>
        <w:pStyle w:val="aDef"/>
      </w:pPr>
      <w:r w:rsidRPr="001E4518">
        <w:rPr>
          <w:rStyle w:val="charBoldItals"/>
        </w:rPr>
        <w:t>licensee</w:t>
      </w:r>
      <w:r w:rsidRPr="001E4518">
        <w:rPr>
          <w:color w:val="000000"/>
        </w:rPr>
        <w:t xml:space="preserve"> means the following:</w:t>
      </w:r>
    </w:p>
    <w:p w14:paraId="7BD5DF0B" w14:textId="77777777" w:rsidR="00A51FDB" w:rsidRPr="001E4518" w:rsidRDefault="00A51FDB" w:rsidP="00A51FDB">
      <w:pPr>
        <w:pStyle w:val="Idefpara"/>
      </w:pPr>
      <w:r w:rsidRPr="001E4518">
        <w:tab/>
        <w:t>(a)</w:t>
      </w:r>
      <w:r w:rsidRPr="001E4518">
        <w:tab/>
        <w:t xml:space="preserve">a totalisator licensee; </w:t>
      </w:r>
    </w:p>
    <w:p w14:paraId="56DA96EA" w14:textId="77777777" w:rsidR="00A51FDB" w:rsidRPr="001E4518" w:rsidRDefault="00A51FDB" w:rsidP="00A51FDB">
      <w:pPr>
        <w:pStyle w:val="Idefpara"/>
      </w:pPr>
      <w:r w:rsidRPr="001E4518">
        <w:tab/>
        <w:t>(b)</w:t>
      </w:r>
      <w:r w:rsidRPr="001E4518">
        <w:tab/>
        <w:t>a sports bookmaking licensee.</w:t>
      </w:r>
    </w:p>
    <w:p w14:paraId="1ADC7AD5" w14:textId="77777777" w:rsidR="00A51FDB" w:rsidRPr="001E4518" w:rsidRDefault="00A51FDB" w:rsidP="00FA5B77">
      <w:pPr>
        <w:pStyle w:val="IH5Sec"/>
      </w:pPr>
      <w:r w:rsidRPr="001E4518">
        <w:t>1.101</w:t>
      </w:r>
      <w:r w:rsidRPr="001E4518">
        <w:tab/>
        <w:t>Expiry</w:t>
      </w:r>
      <w:r w:rsidRPr="001E4518">
        <w:rPr>
          <w:color w:val="000000"/>
        </w:rPr>
        <w:t>—</w:t>
      </w:r>
      <w:r w:rsidRPr="001E4518">
        <w:t>pt 1.10</w:t>
      </w:r>
    </w:p>
    <w:p w14:paraId="1760FF78" w14:textId="77777777" w:rsidR="00A51FDB" w:rsidRPr="001E4518" w:rsidRDefault="00A51FDB" w:rsidP="001E4518">
      <w:pPr>
        <w:pStyle w:val="Amainreturn"/>
        <w:keepNext/>
      </w:pPr>
      <w:r w:rsidRPr="001E4518">
        <w:t>This part expires on 26 May 2021.</w:t>
      </w:r>
    </w:p>
    <w:p w14:paraId="7F355A02" w14:textId="6CBDE817" w:rsidR="00A51FDB" w:rsidRPr="001E4518" w:rsidRDefault="00A51FDB" w:rsidP="00A51FDB">
      <w:pPr>
        <w:pStyle w:val="aNote"/>
      </w:pPr>
      <w:r w:rsidRPr="001E4518">
        <w:rPr>
          <w:rStyle w:val="charItals"/>
        </w:rPr>
        <w:t>Note</w:t>
      </w:r>
      <w:r w:rsidRPr="001E4518">
        <w:tab/>
        <w:t xml:space="preserve">Transitional provisions are kept in the regulation for a limited time.  A transitional provision is repealed on its expiry but continues to have effect after its repeal (see </w:t>
      </w:r>
      <w:hyperlink r:id="rId25" w:tooltip="A2001-14" w:history="1">
        <w:r w:rsidR="00E804D7" w:rsidRPr="001E4518">
          <w:rPr>
            <w:rStyle w:val="charCitHyperlinkAbbrev"/>
          </w:rPr>
          <w:t>Legislation Act</w:t>
        </w:r>
      </w:hyperlink>
      <w:r w:rsidRPr="001E4518">
        <w:t>, s 88).</w:t>
      </w:r>
    </w:p>
    <w:p w14:paraId="3CCB0081" w14:textId="77777777" w:rsidR="001E4518" w:rsidRDefault="001E4518">
      <w:pPr>
        <w:pStyle w:val="02Text"/>
        <w:sectPr w:rsidR="001E4518" w:rsidSect="001E4518">
          <w:headerReference w:type="even" r:id="rId26"/>
          <w:headerReference w:type="default" r:id="rId27"/>
          <w:footerReference w:type="even" r:id="rId28"/>
          <w:footerReference w:type="default" r:id="rId29"/>
          <w:footerReference w:type="first" r:id="rId30"/>
          <w:pgSz w:w="11907" w:h="16839" w:code="9"/>
          <w:pgMar w:top="3880" w:right="1900" w:bottom="3100" w:left="2300" w:header="2280" w:footer="1760" w:gutter="0"/>
          <w:pgNumType w:start="1"/>
          <w:cols w:space="720"/>
          <w:docGrid w:linePitch="326"/>
        </w:sectPr>
      </w:pPr>
    </w:p>
    <w:p w14:paraId="52DF1F6B" w14:textId="77777777" w:rsidR="00C0253A" w:rsidRPr="001E4518" w:rsidRDefault="00C0253A">
      <w:pPr>
        <w:pStyle w:val="EndNoteHeading"/>
      </w:pPr>
      <w:r w:rsidRPr="001E4518">
        <w:lastRenderedPageBreak/>
        <w:t>Endnotes</w:t>
      </w:r>
    </w:p>
    <w:p w14:paraId="54C51B72" w14:textId="77777777" w:rsidR="00C0253A" w:rsidRPr="001E4518" w:rsidRDefault="00C0253A">
      <w:pPr>
        <w:pStyle w:val="EndNoteSubHeading"/>
      </w:pPr>
      <w:r w:rsidRPr="001E4518">
        <w:t>1</w:t>
      </w:r>
      <w:r w:rsidRPr="001E4518">
        <w:tab/>
        <w:t>Notification</w:t>
      </w:r>
    </w:p>
    <w:p w14:paraId="28BABA82" w14:textId="4C7DBAA2" w:rsidR="00C0253A" w:rsidRPr="001E4518" w:rsidRDefault="00C0253A">
      <w:pPr>
        <w:pStyle w:val="EndNoteText"/>
      </w:pPr>
      <w:r w:rsidRPr="001E4518">
        <w:tab/>
        <w:t xml:space="preserve">Notified under the </w:t>
      </w:r>
      <w:hyperlink r:id="rId31" w:tooltip="A2001-14" w:history="1">
        <w:r w:rsidR="00E804D7" w:rsidRPr="001E4518">
          <w:rPr>
            <w:rStyle w:val="charCitHyperlinkAbbrev"/>
          </w:rPr>
          <w:t>Legislation Act</w:t>
        </w:r>
      </w:hyperlink>
      <w:r w:rsidRPr="001E4518">
        <w:t xml:space="preserve"> on</w:t>
      </w:r>
      <w:r w:rsidR="00831FDA">
        <w:t xml:space="preserve"> 24 May 2019</w:t>
      </w:r>
      <w:r w:rsidRPr="001E4518">
        <w:t>.</w:t>
      </w:r>
    </w:p>
    <w:p w14:paraId="1E91DBC1" w14:textId="77777777" w:rsidR="00C0253A" w:rsidRPr="001E4518" w:rsidRDefault="00C0253A">
      <w:pPr>
        <w:pStyle w:val="EndNoteSubHeading"/>
      </w:pPr>
      <w:r w:rsidRPr="001E4518">
        <w:t>2</w:t>
      </w:r>
      <w:r w:rsidRPr="001E4518">
        <w:tab/>
        <w:t>Republications of amended laws</w:t>
      </w:r>
    </w:p>
    <w:p w14:paraId="5CA83C60" w14:textId="0E6DB17F" w:rsidR="00C0253A" w:rsidRPr="001E4518" w:rsidRDefault="00C0253A">
      <w:pPr>
        <w:pStyle w:val="EndNoteText"/>
      </w:pPr>
      <w:r w:rsidRPr="001E4518">
        <w:tab/>
        <w:t xml:space="preserve">For the latest republication of amended laws, see </w:t>
      </w:r>
      <w:hyperlink r:id="rId32" w:history="1">
        <w:r w:rsidR="00E804D7" w:rsidRPr="001E4518">
          <w:rPr>
            <w:rStyle w:val="charCitHyperlinkAbbrev"/>
          </w:rPr>
          <w:t>www.legislation.act.gov.au</w:t>
        </w:r>
      </w:hyperlink>
      <w:r w:rsidRPr="001E4518">
        <w:t>.</w:t>
      </w:r>
    </w:p>
    <w:p w14:paraId="3D2110BB" w14:textId="77777777" w:rsidR="00C0253A" w:rsidRPr="001E4518" w:rsidRDefault="00C0253A">
      <w:pPr>
        <w:pStyle w:val="N-line2"/>
      </w:pPr>
    </w:p>
    <w:p w14:paraId="388BB851" w14:textId="77777777" w:rsidR="001E4518" w:rsidRDefault="001E4518">
      <w:pPr>
        <w:pStyle w:val="05EndNote"/>
        <w:sectPr w:rsidR="001E4518" w:rsidSect="00ED6777">
          <w:headerReference w:type="even" r:id="rId33"/>
          <w:headerReference w:type="default" r:id="rId34"/>
          <w:footerReference w:type="even" r:id="rId35"/>
          <w:footerReference w:type="default" r:id="rId36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632AC1DB" w14:textId="77777777" w:rsidR="00C0253A" w:rsidRPr="001E4518" w:rsidRDefault="00C0253A" w:rsidP="00AC0EEE"/>
    <w:p w14:paraId="7A5BE4DE" w14:textId="77777777" w:rsidR="00CB1742" w:rsidRDefault="00CB1742" w:rsidP="00C0253A"/>
    <w:p w14:paraId="32681195" w14:textId="77777777" w:rsidR="001E4518" w:rsidRDefault="001E4518" w:rsidP="001E4518"/>
    <w:p w14:paraId="5D77618F" w14:textId="77777777" w:rsidR="001E4518" w:rsidRDefault="001E4518" w:rsidP="001E4518">
      <w:pPr>
        <w:suppressLineNumbers/>
      </w:pPr>
    </w:p>
    <w:p w14:paraId="47E6A262" w14:textId="77777777" w:rsidR="00ED6777" w:rsidRDefault="00ED6777" w:rsidP="001E4518">
      <w:pPr>
        <w:suppressLineNumbers/>
      </w:pPr>
    </w:p>
    <w:p w14:paraId="75F077F8" w14:textId="77777777" w:rsidR="00ED6777" w:rsidRDefault="00ED6777" w:rsidP="001E4518">
      <w:pPr>
        <w:suppressLineNumbers/>
      </w:pPr>
    </w:p>
    <w:p w14:paraId="2537544A" w14:textId="77777777" w:rsidR="00ED6777" w:rsidRDefault="00ED6777" w:rsidP="001E4518">
      <w:pPr>
        <w:suppressLineNumbers/>
      </w:pPr>
    </w:p>
    <w:p w14:paraId="56A963A3" w14:textId="77777777" w:rsidR="00ED6777" w:rsidRDefault="00ED6777" w:rsidP="001E4518">
      <w:pPr>
        <w:suppressLineNumbers/>
      </w:pPr>
    </w:p>
    <w:p w14:paraId="3B604C5E" w14:textId="77777777" w:rsidR="00ED6777" w:rsidRDefault="00ED6777" w:rsidP="001E4518">
      <w:pPr>
        <w:suppressLineNumbers/>
      </w:pPr>
    </w:p>
    <w:p w14:paraId="785E780E" w14:textId="77777777" w:rsidR="00ED6777" w:rsidRDefault="00ED6777" w:rsidP="001E4518">
      <w:pPr>
        <w:suppressLineNumbers/>
      </w:pPr>
    </w:p>
    <w:p w14:paraId="5B309CFB" w14:textId="77777777" w:rsidR="00ED6777" w:rsidRDefault="00ED6777" w:rsidP="001E4518">
      <w:pPr>
        <w:suppressLineNumbers/>
      </w:pPr>
    </w:p>
    <w:p w14:paraId="73033899" w14:textId="77777777" w:rsidR="00ED6777" w:rsidRDefault="00ED6777" w:rsidP="001E4518">
      <w:pPr>
        <w:suppressLineNumbers/>
      </w:pPr>
    </w:p>
    <w:p w14:paraId="5D9F499B" w14:textId="77777777" w:rsidR="00ED6777" w:rsidRDefault="00ED6777" w:rsidP="001E4518">
      <w:pPr>
        <w:suppressLineNumbers/>
      </w:pPr>
    </w:p>
    <w:p w14:paraId="42D79B3F" w14:textId="77777777" w:rsidR="00ED6777" w:rsidRDefault="00ED6777" w:rsidP="001E4518">
      <w:pPr>
        <w:suppressLineNumbers/>
      </w:pPr>
    </w:p>
    <w:p w14:paraId="646B94DA" w14:textId="77777777" w:rsidR="00ED6777" w:rsidRDefault="00ED6777" w:rsidP="001E4518">
      <w:pPr>
        <w:suppressLineNumbers/>
      </w:pPr>
    </w:p>
    <w:p w14:paraId="0E3A6EA7" w14:textId="77777777" w:rsidR="00ED6777" w:rsidRDefault="00ED6777" w:rsidP="001E4518">
      <w:pPr>
        <w:suppressLineNumbers/>
      </w:pPr>
    </w:p>
    <w:p w14:paraId="72B3AF04" w14:textId="77777777" w:rsidR="00ED6777" w:rsidRDefault="00ED6777" w:rsidP="001E4518">
      <w:pPr>
        <w:suppressLineNumbers/>
      </w:pPr>
    </w:p>
    <w:p w14:paraId="724E2F0D" w14:textId="77777777" w:rsidR="00ED6777" w:rsidRDefault="00ED6777" w:rsidP="001E4518">
      <w:pPr>
        <w:suppressLineNumbers/>
      </w:pPr>
    </w:p>
    <w:p w14:paraId="3C6FF6A4" w14:textId="77777777" w:rsidR="00ED6777" w:rsidRDefault="00ED6777" w:rsidP="001E4518">
      <w:pPr>
        <w:suppressLineNumbers/>
      </w:pPr>
    </w:p>
    <w:p w14:paraId="2E55C13A" w14:textId="77777777" w:rsidR="00ED6777" w:rsidRDefault="00ED6777" w:rsidP="001E4518">
      <w:pPr>
        <w:suppressLineNumbers/>
      </w:pPr>
    </w:p>
    <w:p w14:paraId="2AE2AB22" w14:textId="77777777" w:rsidR="00ED6777" w:rsidRDefault="00ED6777" w:rsidP="001E4518">
      <w:pPr>
        <w:suppressLineNumbers/>
      </w:pPr>
    </w:p>
    <w:p w14:paraId="54CC01C1" w14:textId="77777777" w:rsidR="001E4518" w:rsidRDefault="001E4518" w:rsidP="001E4518">
      <w:pPr>
        <w:suppressLineNumbers/>
      </w:pPr>
    </w:p>
    <w:p w14:paraId="316C311D" w14:textId="77777777" w:rsidR="001E4518" w:rsidRDefault="001E4518" w:rsidP="001E4518">
      <w:pPr>
        <w:suppressLineNumbers/>
      </w:pPr>
    </w:p>
    <w:p w14:paraId="1EA503DF" w14:textId="77777777" w:rsidR="001E4518" w:rsidRDefault="001E4518" w:rsidP="001E4518">
      <w:pPr>
        <w:suppressLineNumbers/>
      </w:pPr>
    </w:p>
    <w:p w14:paraId="3B924FCA" w14:textId="77777777" w:rsidR="001E4518" w:rsidRDefault="001E4518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2019</w:t>
      </w:r>
    </w:p>
    <w:sectPr w:rsidR="001E4518" w:rsidSect="001E4518">
      <w:headerReference w:type="even" r:id="rId37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A44DB" w14:textId="77777777" w:rsidR="00E804D7" w:rsidRDefault="00E804D7">
      <w:r>
        <w:separator/>
      </w:r>
    </w:p>
  </w:endnote>
  <w:endnote w:type="continuationSeparator" w:id="0">
    <w:p w14:paraId="4C2F5820" w14:textId="77777777" w:rsidR="00E804D7" w:rsidRDefault="00E8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9CADB" w14:textId="1B4F2A34" w:rsidR="001E4518" w:rsidRPr="004A01E2" w:rsidRDefault="004A01E2" w:rsidP="004A01E2">
    <w:pPr>
      <w:pStyle w:val="Status"/>
      <w:rPr>
        <w:rFonts w:cs="Arial"/>
      </w:rPr>
    </w:pPr>
    <w:r w:rsidRPr="004A01E2">
      <w:rPr>
        <w:rFonts w:cs="Arial"/>
      </w:rPr>
      <w:fldChar w:fldCharType="begin"/>
    </w:r>
    <w:r w:rsidRPr="004A01E2">
      <w:rPr>
        <w:rFonts w:cs="Arial"/>
      </w:rPr>
      <w:instrText xml:space="preserve"> DOCPROPERTY "Status" </w:instrText>
    </w:r>
    <w:r w:rsidRPr="004A01E2">
      <w:rPr>
        <w:rFonts w:cs="Arial"/>
      </w:rPr>
      <w:fldChar w:fldCharType="separate"/>
    </w:r>
    <w:r w:rsidR="00B078E6" w:rsidRPr="004A01E2">
      <w:rPr>
        <w:rFonts w:cs="Arial"/>
      </w:rPr>
      <w:t xml:space="preserve"> </w:t>
    </w:r>
    <w:r w:rsidRPr="004A01E2">
      <w:rPr>
        <w:rFonts w:cs="Arial"/>
      </w:rPr>
      <w:fldChar w:fldCharType="end"/>
    </w:r>
    <w:r w:rsidRPr="004A01E2">
      <w:rPr>
        <w:rFonts w:cs="Arial"/>
      </w:rPr>
      <w:t>Unauthorised version prepared by ACT Parliamentary Counsel’s Office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F5C30" w14:textId="77777777" w:rsidR="001E4518" w:rsidRDefault="001E4518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1E4518" w14:paraId="48963A69" w14:textId="77777777">
      <w:trPr>
        <w:jc w:val="center"/>
      </w:trPr>
      <w:tc>
        <w:tcPr>
          <w:tcW w:w="1240" w:type="dxa"/>
        </w:tcPr>
        <w:p w14:paraId="47909B2B" w14:textId="77777777" w:rsidR="001E4518" w:rsidRDefault="001E4518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119D9285" w14:textId="6CEFE2A5" w:rsidR="001E4518" w:rsidRDefault="004A01E2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B078E6">
            <w:t>Gambling and Racing Control (Code of Practice) Amendment Regulation 2019 (No 1)</w:t>
          </w:r>
          <w:r>
            <w:fldChar w:fldCharType="end"/>
          </w:r>
        </w:p>
        <w:p w14:paraId="650AC03F" w14:textId="2515E878" w:rsidR="001E4518" w:rsidRDefault="004A01E2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B078E6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B078E6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B078E6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687E191C" w14:textId="02A9C46A" w:rsidR="001E4518" w:rsidRDefault="004A01E2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B078E6">
            <w:t>SL2019-10</w:t>
          </w:r>
          <w:r>
            <w:fldChar w:fldCharType="end"/>
          </w:r>
          <w:r w:rsidR="001E4518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B078E6">
            <w:t xml:space="preserve">  </w:t>
          </w:r>
          <w:r>
            <w:fldChar w:fldCharType="end"/>
          </w:r>
        </w:p>
      </w:tc>
    </w:tr>
  </w:tbl>
  <w:p w14:paraId="464BB5EC" w14:textId="3D066579" w:rsidR="001E4518" w:rsidRPr="004A01E2" w:rsidRDefault="004A01E2" w:rsidP="004A01E2">
    <w:pPr>
      <w:pStyle w:val="Status"/>
      <w:rPr>
        <w:rFonts w:cs="Arial"/>
      </w:rPr>
    </w:pPr>
    <w:r w:rsidRPr="004A01E2">
      <w:rPr>
        <w:rFonts w:cs="Arial"/>
      </w:rPr>
      <w:fldChar w:fldCharType="begin"/>
    </w:r>
    <w:r w:rsidRPr="004A01E2">
      <w:rPr>
        <w:rFonts w:cs="Arial"/>
      </w:rPr>
      <w:instrText xml:space="preserve"> DOCPROPERTY "Status" </w:instrText>
    </w:r>
    <w:r w:rsidRPr="004A01E2">
      <w:rPr>
        <w:rFonts w:cs="Arial"/>
      </w:rPr>
      <w:fldChar w:fldCharType="separate"/>
    </w:r>
    <w:r w:rsidR="00B078E6" w:rsidRPr="004A01E2">
      <w:rPr>
        <w:rFonts w:cs="Arial"/>
      </w:rPr>
      <w:t xml:space="preserve"> </w:t>
    </w:r>
    <w:r w:rsidRPr="004A01E2">
      <w:rPr>
        <w:rFonts w:cs="Arial"/>
      </w:rPr>
      <w:fldChar w:fldCharType="end"/>
    </w:r>
    <w:r w:rsidRPr="004A01E2">
      <w:rPr>
        <w:rFonts w:cs="Arial"/>
      </w:rPr>
      <w:t>Unauthorised version prepared by ACT Parliamentary Counsel’s Office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D6D66" w14:textId="77777777" w:rsidR="001E4518" w:rsidRDefault="001E4518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1E4518" w14:paraId="48A5C6AA" w14:textId="77777777">
      <w:trPr>
        <w:jc w:val="center"/>
      </w:trPr>
      <w:tc>
        <w:tcPr>
          <w:tcW w:w="1553" w:type="dxa"/>
        </w:tcPr>
        <w:p w14:paraId="7B0AA93C" w14:textId="71F9EFD2" w:rsidR="001E4518" w:rsidRDefault="004A01E2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B078E6">
            <w:t>SL2019-10</w:t>
          </w:r>
          <w:r>
            <w:fldChar w:fldCharType="end"/>
          </w:r>
          <w:r w:rsidR="001E4518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B078E6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630B5210" w14:textId="1886ADAA" w:rsidR="001E4518" w:rsidRDefault="004A01E2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B078E6">
            <w:t>Gambling and Racing Control (Code of Practice) Amendment Regulation 2019 (No 1)</w:t>
          </w:r>
          <w:r>
            <w:fldChar w:fldCharType="end"/>
          </w:r>
        </w:p>
        <w:p w14:paraId="445825F9" w14:textId="1600B26D" w:rsidR="001E4518" w:rsidRDefault="004A01E2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B078E6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B078E6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B078E6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04B5AC75" w14:textId="77777777" w:rsidR="001E4518" w:rsidRDefault="001E4518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1AC35083" w14:textId="1318E498" w:rsidR="001E4518" w:rsidRPr="004A01E2" w:rsidRDefault="004A01E2" w:rsidP="004A01E2">
    <w:pPr>
      <w:pStyle w:val="Status"/>
      <w:rPr>
        <w:rFonts w:cs="Arial"/>
      </w:rPr>
    </w:pPr>
    <w:r w:rsidRPr="004A01E2">
      <w:rPr>
        <w:rFonts w:cs="Arial"/>
      </w:rPr>
      <w:fldChar w:fldCharType="begin"/>
    </w:r>
    <w:r w:rsidRPr="004A01E2">
      <w:rPr>
        <w:rFonts w:cs="Arial"/>
      </w:rPr>
      <w:instrText xml:space="preserve"> DOCPROPERTY "Status" </w:instrText>
    </w:r>
    <w:r w:rsidRPr="004A01E2">
      <w:rPr>
        <w:rFonts w:cs="Arial"/>
      </w:rPr>
      <w:fldChar w:fldCharType="separate"/>
    </w:r>
    <w:r w:rsidR="00B078E6" w:rsidRPr="004A01E2">
      <w:rPr>
        <w:rFonts w:cs="Arial"/>
      </w:rPr>
      <w:t xml:space="preserve"> </w:t>
    </w:r>
    <w:r w:rsidRPr="004A01E2">
      <w:rPr>
        <w:rFonts w:cs="Arial"/>
      </w:rPr>
      <w:fldChar w:fldCharType="end"/>
    </w:r>
    <w:r w:rsidRPr="004A01E2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E7ED5" w14:textId="139A2376" w:rsidR="001E4518" w:rsidRPr="004A01E2" w:rsidRDefault="004A01E2" w:rsidP="004A01E2">
    <w:pPr>
      <w:pStyle w:val="Status"/>
      <w:rPr>
        <w:rFonts w:cs="Arial"/>
      </w:rPr>
    </w:pPr>
    <w:r w:rsidRPr="004A01E2">
      <w:rPr>
        <w:rFonts w:cs="Arial"/>
      </w:rPr>
      <w:fldChar w:fldCharType="begin"/>
    </w:r>
    <w:r w:rsidRPr="004A01E2">
      <w:rPr>
        <w:rFonts w:cs="Arial"/>
      </w:rPr>
      <w:instrText xml:space="preserve"> DOCPROPERTY "Status" </w:instrText>
    </w:r>
    <w:r w:rsidRPr="004A01E2">
      <w:rPr>
        <w:rFonts w:cs="Arial"/>
      </w:rPr>
      <w:fldChar w:fldCharType="separate"/>
    </w:r>
    <w:r w:rsidR="00B078E6" w:rsidRPr="004A01E2">
      <w:rPr>
        <w:rFonts w:cs="Arial"/>
      </w:rPr>
      <w:t xml:space="preserve"> </w:t>
    </w:r>
    <w:r w:rsidRPr="004A01E2">
      <w:rPr>
        <w:rFonts w:cs="Arial"/>
      </w:rPr>
      <w:fldChar w:fldCharType="end"/>
    </w:r>
    <w:r w:rsidRPr="004A01E2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B5186" w14:textId="3C491EE0" w:rsidR="001E4518" w:rsidRDefault="001E4518">
    <w:pP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B078E6">
      <w:rPr>
        <w:rFonts w:ascii="Arial" w:hAnsi="Arial"/>
        <w:sz w:val="12"/>
      </w:rPr>
      <w:t>J2019-357</w:t>
    </w:r>
    <w:r>
      <w:rPr>
        <w:rFonts w:ascii="Arial" w:hAnsi="Arial"/>
        <w:sz w:val="12"/>
      </w:rPr>
      <w:fldChar w:fldCharType="end"/>
    </w:r>
  </w:p>
  <w:p w14:paraId="0E035EE5" w14:textId="265B3201" w:rsidR="001E4518" w:rsidRPr="004A01E2" w:rsidRDefault="004A01E2" w:rsidP="004A01E2">
    <w:pPr>
      <w:pStyle w:val="Status"/>
      <w:rPr>
        <w:rFonts w:cs="Arial"/>
      </w:rPr>
    </w:pPr>
    <w:r w:rsidRPr="004A01E2">
      <w:rPr>
        <w:rFonts w:cs="Arial"/>
      </w:rPr>
      <w:fldChar w:fldCharType="begin"/>
    </w:r>
    <w:r w:rsidRPr="004A01E2">
      <w:rPr>
        <w:rFonts w:cs="Arial"/>
      </w:rPr>
      <w:instrText xml:space="preserve"> DOCPROPERTY "Status" </w:instrText>
    </w:r>
    <w:r w:rsidRPr="004A01E2">
      <w:rPr>
        <w:rFonts w:cs="Arial"/>
      </w:rPr>
      <w:fldChar w:fldCharType="separate"/>
    </w:r>
    <w:r w:rsidR="00B078E6" w:rsidRPr="004A01E2">
      <w:rPr>
        <w:rFonts w:cs="Arial"/>
      </w:rPr>
      <w:t xml:space="preserve"> </w:t>
    </w:r>
    <w:r w:rsidRPr="004A01E2">
      <w:rPr>
        <w:rFonts w:cs="Arial"/>
      </w:rPr>
      <w:fldChar w:fldCharType="end"/>
    </w:r>
    <w:r w:rsidRPr="004A01E2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E01DC" w14:textId="77777777" w:rsidR="001E4518" w:rsidRDefault="001E4518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1E4518" w:rsidRPr="00CB3D59" w14:paraId="1B0CEAF0" w14:textId="77777777">
      <w:tc>
        <w:tcPr>
          <w:tcW w:w="845" w:type="pct"/>
        </w:tcPr>
        <w:p w14:paraId="0B7A0A6D" w14:textId="77777777" w:rsidR="001E4518" w:rsidRPr="0097645D" w:rsidRDefault="001E4518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63EE9F3C" w14:textId="70FE57C4" w:rsidR="001E4518" w:rsidRPr="00783A18" w:rsidRDefault="004A01E2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B078E6">
            <w:t>Gambling and Racing Control (Code of Practice) Amendment Regulation 2019 (No 1)</w:t>
          </w:r>
          <w:r>
            <w:fldChar w:fldCharType="end"/>
          </w:r>
        </w:p>
        <w:p w14:paraId="545F9E02" w14:textId="546E90CB" w:rsidR="001E4518" w:rsidRPr="00783A18" w:rsidRDefault="001E4518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078E6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078E6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078E6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733D8B10" w14:textId="4BAC2C99" w:rsidR="001E4518" w:rsidRPr="00743346" w:rsidRDefault="001E4518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B078E6">
            <w:rPr>
              <w:rFonts w:cs="Arial"/>
              <w:szCs w:val="18"/>
            </w:rPr>
            <w:t>SL2019-10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B078E6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599DB20F" w14:textId="141FF7F2" w:rsidR="001E4518" w:rsidRPr="004A01E2" w:rsidRDefault="004A01E2" w:rsidP="004A01E2">
    <w:pPr>
      <w:pStyle w:val="Status"/>
      <w:rPr>
        <w:rFonts w:cs="Arial"/>
      </w:rPr>
    </w:pPr>
    <w:r w:rsidRPr="004A01E2">
      <w:rPr>
        <w:rFonts w:cs="Arial"/>
      </w:rPr>
      <w:fldChar w:fldCharType="begin"/>
    </w:r>
    <w:r w:rsidRPr="004A01E2">
      <w:rPr>
        <w:rFonts w:cs="Arial"/>
      </w:rPr>
      <w:instrText xml:space="preserve"> DOCPROPERTY "Status" </w:instrText>
    </w:r>
    <w:r w:rsidRPr="004A01E2">
      <w:rPr>
        <w:rFonts w:cs="Arial"/>
      </w:rPr>
      <w:fldChar w:fldCharType="separate"/>
    </w:r>
    <w:r w:rsidR="00B078E6" w:rsidRPr="004A01E2">
      <w:rPr>
        <w:rFonts w:cs="Arial"/>
      </w:rPr>
      <w:t xml:space="preserve"> </w:t>
    </w:r>
    <w:r w:rsidRPr="004A01E2">
      <w:rPr>
        <w:rFonts w:cs="Arial"/>
      </w:rPr>
      <w:fldChar w:fldCharType="end"/>
    </w:r>
    <w:r w:rsidRPr="004A01E2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E687A" w14:textId="77777777" w:rsidR="001E4518" w:rsidRDefault="001E4518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1E4518" w:rsidRPr="00CB3D59" w14:paraId="75D9B993" w14:textId="77777777">
      <w:tc>
        <w:tcPr>
          <w:tcW w:w="1060" w:type="pct"/>
        </w:tcPr>
        <w:p w14:paraId="7ABAF984" w14:textId="35A699E3" w:rsidR="001E4518" w:rsidRPr="00743346" w:rsidRDefault="001E4518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B078E6">
            <w:rPr>
              <w:rFonts w:cs="Arial"/>
              <w:szCs w:val="18"/>
            </w:rPr>
            <w:t>SL2019-10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B078E6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72033E0D" w14:textId="39A992FB" w:rsidR="001E4518" w:rsidRPr="00783A18" w:rsidRDefault="004A01E2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B078E6">
            <w:t>Gambling and Racing Control (Code of Practice) Amendment Regulation 2019 (No 1)</w:t>
          </w:r>
          <w:r>
            <w:fldChar w:fldCharType="end"/>
          </w:r>
        </w:p>
        <w:p w14:paraId="017077BB" w14:textId="0BF1E6D0" w:rsidR="001E4518" w:rsidRPr="00783A18" w:rsidRDefault="001E4518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078E6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078E6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078E6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52ADEFEA" w14:textId="77777777" w:rsidR="001E4518" w:rsidRPr="0097645D" w:rsidRDefault="001E4518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3CB13257" w14:textId="39307C5E" w:rsidR="001E4518" w:rsidRPr="004A01E2" w:rsidRDefault="004A01E2" w:rsidP="004A01E2">
    <w:pPr>
      <w:pStyle w:val="Status"/>
      <w:rPr>
        <w:rFonts w:cs="Arial"/>
      </w:rPr>
    </w:pPr>
    <w:r w:rsidRPr="004A01E2">
      <w:rPr>
        <w:rFonts w:cs="Arial"/>
      </w:rPr>
      <w:fldChar w:fldCharType="begin"/>
    </w:r>
    <w:r w:rsidRPr="004A01E2">
      <w:rPr>
        <w:rFonts w:cs="Arial"/>
      </w:rPr>
      <w:instrText xml:space="preserve"> DOCPROPERTY "Status" </w:instrText>
    </w:r>
    <w:r w:rsidRPr="004A01E2">
      <w:rPr>
        <w:rFonts w:cs="Arial"/>
      </w:rPr>
      <w:fldChar w:fldCharType="separate"/>
    </w:r>
    <w:r w:rsidR="00B078E6" w:rsidRPr="004A01E2">
      <w:rPr>
        <w:rFonts w:cs="Arial"/>
      </w:rPr>
      <w:t xml:space="preserve"> </w:t>
    </w:r>
    <w:r w:rsidRPr="004A01E2">
      <w:rPr>
        <w:rFonts w:cs="Arial"/>
      </w:rPr>
      <w:fldChar w:fldCharType="end"/>
    </w:r>
    <w:r w:rsidRPr="004A01E2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7A64C" w14:textId="77777777" w:rsidR="001E4518" w:rsidRDefault="001E4518">
    <w:pPr>
      <w:rPr>
        <w:sz w:val="16"/>
      </w:rPr>
    </w:pPr>
  </w:p>
  <w:p w14:paraId="4D736AC7" w14:textId="1AB4E635" w:rsidR="001E4518" w:rsidRDefault="001E4518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B078E6">
      <w:rPr>
        <w:rFonts w:ascii="Arial" w:hAnsi="Arial"/>
        <w:sz w:val="12"/>
      </w:rPr>
      <w:t>J2019-357</w:t>
    </w:r>
    <w:r>
      <w:rPr>
        <w:rFonts w:ascii="Arial" w:hAnsi="Arial"/>
        <w:sz w:val="12"/>
      </w:rPr>
      <w:fldChar w:fldCharType="end"/>
    </w:r>
  </w:p>
  <w:p w14:paraId="5FD444D5" w14:textId="4712D98B" w:rsidR="001E4518" w:rsidRPr="004A01E2" w:rsidRDefault="004A01E2" w:rsidP="004A01E2">
    <w:pPr>
      <w:pStyle w:val="Status"/>
      <w:tabs>
        <w:tab w:val="center" w:pos="3853"/>
        <w:tab w:val="left" w:pos="4575"/>
      </w:tabs>
      <w:rPr>
        <w:rFonts w:cs="Arial"/>
      </w:rPr>
    </w:pPr>
    <w:r w:rsidRPr="004A01E2">
      <w:rPr>
        <w:rFonts w:cs="Arial"/>
      </w:rPr>
      <w:fldChar w:fldCharType="begin"/>
    </w:r>
    <w:r w:rsidRPr="004A01E2">
      <w:rPr>
        <w:rFonts w:cs="Arial"/>
      </w:rPr>
      <w:instrText xml:space="preserve"> DOCPROPERTY "Status" </w:instrText>
    </w:r>
    <w:r w:rsidRPr="004A01E2">
      <w:rPr>
        <w:rFonts w:cs="Arial"/>
      </w:rPr>
      <w:fldChar w:fldCharType="separate"/>
    </w:r>
    <w:r w:rsidR="00B078E6" w:rsidRPr="004A01E2">
      <w:rPr>
        <w:rFonts w:cs="Arial"/>
      </w:rPr>
      <w:t xml:space="preserve"> </w:t>
    </w:r>
    <w:r w:rsidRPr="004A01E2">
      <w:rPr>
        <w:rFonts w:cs="Arial"/>
      </w:rPr>
      <w:fldChar w:fldCharType="end"/>
    </w:r>
    <w:r w:rsidRPr="004A01E2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AAD7B" w14:textId="77777777" w:rsidR="001E4518" w:rsidRDefault="001E4518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1E4518" w:rsidRPr="00CB3D59" w14:paraId="4832502D" w14:textId="77777777">
      <w:tc>
        <w:tcPr>
          <w:tcW w:w="847" w:type="pct"/>
        </w:tcPr>
        <w:p w14:paraId="136E2725" w14:textId="77777777" w:rsidR="001E4518" w:rsidRPr="006D109C" w:rsidRDefault="001E4518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03E079CE" w14:textId="30BA4FFF" w:rsidR="001E4518" w:rsidRPr="006D109C" w:rsidRDefault="001E4518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B078E6" w:rsidRPr="00B078E6">
            <w:rPr>
              <w:rFonts w:cs="Arial"/>
              <w:szCs w:val="18"/>
            </w:rPr>
            <w:t>Gambling and Racing Control</w:t>
          </w:r>
          <w:r w:rsidR="00B078E6">
            <w:t xml:space="preserve"> (Code of Practice) Amendment Regulation 2019 (No 1)</w:t>
          </w:r>
          <w:r>
            <w:rPr>
              <w:rFonts w:cs="Arial"/>
              <w:szCs w:val="18"/>
            </w:rPr>
            <w:fldChar w:fldCharType="end"/>
          </w:r>
        </w:p>
        <w:p w14:paraId="55AD92A0" w14:textId="79DA98A4" w:rsidR="001E4518" w:rsidRPr="00783A18" w:rsidRDefault="001E4518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078E6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078E6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078E6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7EDEE634" w14:textId="3258AA0C" w:rsidR="001E4518" w:rsidRPr="006D109C" w:rsidRDefault="001E4518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B078E6">
            <w:rPr>
              <w:rFonts w:cs="Arial"/>
              <w:szCs w:val="18"/>
            </w:rPr>
            <w:t>SL2019-10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B078E6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4D3AAEC8" w14:textId="6FE3D96C" w:rsidR="001E4518" w:rsidRPr="004A01E2" w:rsidRDefault="004A01E2" w:rsidP="004A01E2">
    <w:pPr>
      <w:pStyle w:val="Status"/>
      <w:rPr>
        <w:rFonts w:cs="Arial"/>
      </w:rPr>
    </w:pPr>
    <w:r w:rsidRPr="004A01E2">
      <w:rPr>
        <w:rFonts w:cs="Arial"/>
      </w:rPr>
      <w:fldChar w:fldCharType="begin"/>
    </w:r>
    <w:r w:rsidRPr="004A01E2">
      <w:rPr>
        <w:rFonts w:cs="Arial"/>
      </w:rPr>
      <w:instrText xml:space="preserve"> DOCPROPERTY "Status" </w:instrText>
    </w:r>
    <w:r w:rsidRPr="004A01E2">
      <w:rPr>
        <w:rFonts w:cs="Arial"/>
      </w:rPr>
      <w:fldChar w:fldCharType="separate"/>
    </w:r>
    <w:r w:rsidR="00B078E6" w:rsidRPr="004A01E2">
      <w:rPr>
        <w:rFonts w:cs="Arial"/>
      </w:rPr>
      <w:t xml:space="preserve"> </w:t>
    </w:r>
    <w:r w:rsidRPr="004A01E2">
      <w:rPr>
        <w:rFonts w:cs="Arial"/>
      </w:rPr>
      <w:fldChar w:fldCharType="end"/>
    </w:r>
    <w:r w:rsidRPr="004A01E2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270F1" w14:textId="77777777" w:rsidR="001E4518" w:rsidRDefault="001E4518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1E4518" w:rsidRPr="00CB3D59" w14:paraId="5F0A3A93" w14:textId="77777777">
      <w:tc>
        <w:tcPr>
          <w:tcW w:w="1061" w:type="pct"/>
        </w:tcPr>
        <w:p w14:paraId="2D839662" w14:textId="1AF5FD19" w:rsidR="001E4518" w:rsidRPr="006D109C" w:rsidRDefault="001E4518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B078E6">
            <w:rPr>
              <w:rFonts w:cs="Arial"/>
              <w:szCs w:val="18"/>
            </w:rPr>
            <w:t>SL2019-10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B078E6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2C2CF65C" w14:textId="456391C8" w:rsidR="001E4518" w:rsidRPr="006D109C" w:rsidRDefault="001E4518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B078E6" w:rsidRPr="00B078E6">
            <w:rPr>
              <w:rFonts w:cs="Arial"/>
              <w:szCs w:val="18"/>
            </w:rPr>
            <w:t>Gambling and Racing Control</w:t>
          </w:r>
          <w:r w:rsidR="00B078E6">
            <w:t xml:space="preserve"> (Code of Practice) Amendment Regulation 2019 (No 1)</w:t>
          </w:r>
          <w:r>
            <w:rPr>
              <w:rFonts w:cs="Arial"/>
              <w:szCs w:val="18"/>
            </w:rPr>
            <w:fldChar w:fldCharType="end"/>
          </w:r>
        </w:p>
        <w:p w14:paraId="53F3E935" w14:textId="3FA73CAF" w:rsidR="001E4518" w:rsidRPr="00783A18" w:rsidRDefault="001E4518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078E6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078E6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078E6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4F468286" w14:textId="77777777" w:rsidR="001E4518" w:rsidRPr="006D109C" w:rsidRDefault="001E4518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267608D3" w14:textId="2977B191" w:rsidR="001E4518" w:rsidRPr="004A01E2" w:rsidRDefault="004A01E2" w:rsidP="004A01E2">
    <w:pPr>
      <w:pStyle w:val="Status"/>
      <w:rPr>
        <w:rFonts w:cs="Arial"/>
      </w:rPr>
    </w:pPr>
    <w:r w:rsidRPr="004A01E2">
      <w:rPr>
        <w:rFonts w:cs="Arial"/>
      </w:rPr>
      <w:fldChar w:fldCharType="begin"/>
    </w:r>
    <w:r w:rsidRPr="004A01E2">
      <w:rPr>
        <w:rFonts w:cs="Arial"/>
      </w:rPr>
      <w:instrText xml:space="preserve"> DOCPROPERTY "Status" </w:instrText>
    </w:r>
    <w:r w:rsidRPr="004A01E2">
      <w:rPr>
        <w:rFonts w:cs="Arial"/>
      </w:rPr>
      <w:fldChar w:fldCharType="separate"/>
    </w:r>
    <w:r w:rsidR="00B078E6" w:rsidRPr="004A01E2">
      <w:rPr>
        <w:rFonts w:cs="Arial"/>
      </w:rPr>
      <w:t xml:space="preserve"> </w:t>
    </w:r>
    <w:r w:rsidRPr="004A01E2">
      <w:rPr>
        <w:rFonts w:cs="Arial"/>
      </w:rPr>
      <w:fldChar w:fldCharType="end"/>
    </w:r>
    <w:r w:rsidRPr="004A01E2">
      <w:rPr>
        <w:rFonts w:cs="Arial"/>
      </w:rPr>
      <w:t>Unauthorised version prepared by ACT Parliamentary Counsel’s Office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E6F10" w14:textId="77777777" w:rsidR="001E4518" w:rsidRDefault="001E4518">
    <w:pPr>
      <w:rPr>
        <w:sz w:val="16"/>
      </w:rPr>
    </w:pPr>
  </w:p>
  <w:p w14:paraId="5677A635" w14:textId="72438B4F" w:rsidR="001E4518" w:rsidRDefault="001E4518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B078E6">
      <w:rPr>
        <w:rFonts w:ascii="Arial" w:hAnsi="Arial"/>
        <w:sz w:val="12"/>
      </w:rPr>
      <w:t>J2019-357</w:t>
    </w:r>
    <w:r>
      <w:rPr>
        <w:rFonts w:ascii="Arial" w:hAnsi="Arial"/>
        <w:sz w:val="12"/>
      </w:rPr>
      <w:fldChar w:fldCharType="end"/>
    </w:r>
  </w:p>
  <w:p w14:paraId="47302096" w14:textId="6BBA5B02" w:rsidR="001E4518" w:rsidRDefault="004A01E2">
    <w:pPr>
      <w:pStyle w:val="Status"/>
    </w:pPr>
    <w:r>
      <w:fldChar w:fldCharType="begin"/>
    </w:r>
    <w:r>
      <w:instrText xml:space="preserve"> DOCPROPERTY "Status" </w:instrText>
    </w:r>
    <w:r>
      <w:fldChar w:fldCharType="separate"/>
    </w:r>
    <w:r w:rsidR="00B078E6">
      <w:t xml:space="preserve"> 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A7126" w14:textId="77777777" w:rsidR="00E804D7" w:rsidRDefault="00E804D7">
      <w:r>
        <w:separator/>
      </w:r>
    </w:p>
  </w:footnote>
  <w:footnote w:type="continuationSeparator" w:id="0">
    <w:p w14:paraId="2CA0BE63" w14:textId="77777777" w:rsidR="00E804D7" w:rsidRDefault="00E8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F38D0" w14:textId="77777777" w:rsidR="00831FDA" w:rsidRDefault="00831FDA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E804D7" w:rsidRPr="00E06D02" w14:paraId="07C8D60B" w14:textId="77777777" w:rsidTr="00567644">
      <w:trPr>
        <w:jc w:val="center"/>
      </w:trPr>
      <w:tc>
        <w:tcPr>
          <w:tcW w:w="1068" w:type="pct"/>
        </w:tcPr>
        <w:p w14:paraId="2774533F" w14:textId="77777777" w:rsidR="00E804D7" w:rsidRPr="00567644" w:rsidRDefault="00E804D7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34AA63F1" w14:textId="77777777" w:rsidR="00E804D7" w:rsidRPr="00567644" w:rsidRDefault="00E804D7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E804D7" w:rsidRPr="00E06D02" w14:paraId="73E231A7" w14:textId="77777777" w:rsidTr="00567644">
      <w:trPr>
        <w:jc w:val="center"/>
      </w:trPr>
      <w:tc>
        <w:tcPr>
          <w:tcW w:w="1068" w:type="pct"/>
        </w:tcPr>
        <w:p w14:paraId="3EC80E08" w14:textId="77777777" w:rsidR="00E804D7" w:rsidRPr="00567644" w:rsidRDefault="00E804D7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1BCF1EED" w14:textId="77777777" w:rsidR="00E804D7" w:rsidRPr="00567644" w:rsidRDefault="00E804D7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E804D7" w:rsidRPr="00E06D02" w14:paraId="23972724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4797BF6A" w14:textId="77777777" w:rsidR="00E804D7" w:rsidRPr="00567644" w:rsidRDefault="00E804D7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78C55D8D" w14:textId="77777777" w:rsidR="00E804D7" w:rsidRDefault="00E804D7" w:rsidP="00567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F631F" w14:textId="77777777" w:rsidR="00831FDA" w:rsidRDefault="00831F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55D31" w14:textId="77777777" w:rsidR="00831FDA" w:rsidRDefault="00831FD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1E4518" w:rsidRPr="00CB3D59" w14:paraId="404A64E3" w14:textId="77777777">
      <w:tc>
        <w:tcPr>
          <w:tcW w:w="900" w:type="pct"/>
        </w:tcPr>
        <w:p w14:paraId="14A43662" w14:textId="77777777" w:rsidR="001E4518" w:rsidRPr="00783A18" w:rsidRDefault="001E4518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7AC70652" w14:textId="77777777" w:rsidR="001E4518" w:rsidRPr="00783A18" w:rsidRDefault="001E4518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1E4518" w:rsidRPr="00CB3D59" w14:paraId="6F41CF2F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010D1DED" w14:textId="71ADC73D" w:rsidR="001E4518" w:rsidRPr="0097645D" w:rsidRDefault="00344F06" w:rsidP="000763CD">
          <w:pPr>
            <w:pStyle w:val="HeaderEven6"/>
            <w:rPr>
              <w:rFonts w:cs="Arial"/>
              <w:szCs w:val="18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charContents \* MERGEFORMAT </w:instrText>
          </w:r>
          <w:r>
            <w:rPr>
              <w:noProof/>
            </w:rPr>
            <w:fldChar w:fldCharType="separate"/>
          </w:r>
          <w:r w:rsidR="004A01E2"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4AB61FDB" w14:textId="3FF72A42" w:rsidR="001E4518" w:rsidRDefault="001E4518">
    <w:pPr>
      <w:pStyle w:val="N-9pt"/>
    </w:pPr>
    <w:r>
      <w:tab/>
    </w:r>
    <w:r w:rsidR="00344F06">
      <w:rPr>
        <w:noProof/>
      </w:rPr>
      <w:fldChar w:fldCharType="begin"/>
    </w:r>
    <w:r w:rsidR="00344F06">
      <w:rPr>
        <w:noProof/>
      </w:rPr>
      <w:instrText xml:space="preserve"> STYLEREF charPage \* MERGEFORMAT </w:instrText>
    </w:r>
    <w:r w:rsidR="00344F06">
      <w:rPr>
        <w:noProof/>
      </w:rPr>
      <w:fldChar w:fldCharType="separate"/>
    </w:r>
    <w:r w:rsidR="004A01E2">
      <w:rPr>
        <w:noProof/>
      </w:rPr>
      <w:t>Page</w:t>
    </w:r>
    <w:r w:rsidR="00344F06"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1E4518" w:rsidRPr="00CB3D59" w14:paraId="02AAB749" w14:textId="77777777">
      <w:tc>
        <w:tcPr>
          <w:tcW w:w="4100" w:type="pct"/>
        </w:tcPr>
        <w:p w14:paraId="02F079F8" w14:textId="77777777" w:rsidR="001E4518" w:rsidRPr="00783A18" w:rsidRDefault="001E4518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5E83D5B7" w14:textId="77777777" w:rsidR="001E4518" w:rsidRPr="00783A18" w:rsidRDefault="001E4518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1E4518" w:rsidRPr="00CB3D59" w14:paraId="1F900945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6A4621EA" w14:textId="4D7911E2" w:rsidR="001E4518" w:rsidRPr="0097645D" w:rsidRDefault="001E4518" w:rsidP="000763CD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end"/>
          </w:r>
        </w:p>
      </w:tc>
    </w:tr>
  </w:tbl>
  <w:p w14:paraId="73C05ED3" w14:textId="5269DB21" w:rsidR="001E4518" w:rsidRDefault="001E4518">
    <w:pPr>
      <w:pStyle w:val="N-9pt"/>
    </w:pPr>
    <w:r>
      <w:tab/>
    </w:r>
    <w:r>
      <w:fldChar w:fldCharType="begin"/>
    </w:r>
    <w:r>
      <w:instrText xml:space="preserve"> STYLEREF charPage \* MERGEFORMAT </w:instrTex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1E4518" w:rsidRPr="00CB3D59" w14:paraId="18BC8F44" w14:textId="77777777">
      <w:tc>
        <w:tcPr>
          <w:tcW w:w="900" w:type="pct"/>
        </w:tcPr>
        <w:p w14:paraId="54313470" w14:textId="023B7E9F" w:rsidR="001E4518" w:rsidRPr="006D109C" w:rsidRDefault="001E4518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4100" w:type="pct"/>
        </w:tcPr>
        <w:p w14:paraId="7EB59FB3" w14:textId="1490B2C6" w:rsidR="001E4518" w:rsidRPr="006D109C" w:rsidRDefault="001E4518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1E4518" w:rsidRPr="00CB3D59" w14:paraId="67AEF3AD" w14:textId="77777777">
      <w:tc>
        <w:tcPr>
          <w:tcW w:w="900" w:type="pct"/>
        </w:tcPr>
        <w:p w14:paraId="14D0D349" w14:textId="0C38DA18" w:rsidR="001E4518" w:rsidRPr="006D109C" w:rsidRDefault="001E4518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4100" w:type="pct"/>
        </w:tcPr>
        <w:p w14:paraId="2A46581C" w14:textId="1156276D" w:rsidR="001E4518" w:rsidRPr="006D109C" w:rsidRDefault="001E4518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1E4518" w:rsidRPr="00CB3D59" w14:paraId="197BBE11" w14:textId="77777777">
      <w:trPr>
        <w:cantSplit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3DC714F5" w14:textId="17D6E6BF" w:rsidR="001E4518" w:rsidRPr="006D109C" w:rsidRDefault="001E4518" w:rsidP="00B136BA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B078E6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4A01E2">
            <w:rPr>
              <w:rFonts w:cs="Arial"/>
              <w:noProof/>
              <w:szCs w:val="18"/>
            </w:rPr>
            <w:t>10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3B375B75" w14:textId="77777777" w:rsidR="001E4518" w:rsidRDefault="001E4518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1E4518" w:rsidRPr="00CB3D59" w14:paraId="6EAF2D6A" w14:textId="77777777">
      <w:tc>
        <w:tcPr>
          <w:tcW w:w="4100" w:type="pct"/>
        </w:tcPr>
        <w:p w14:paraId="3749E62E" w14:textId="0037886F" w:rsidR="001E4518" w:rsidRPr="006D109C" w:rsidRDefault="001E4518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900" w:type="pct"/>
        </w:tcPr>
        <w:p w14:paraId="29103ADE" w14:textId="70F20479" w:rsidR="001E4518" w:rsidRPr="006D109C" w:rsidRDefault="001E4518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1E4518" w:rsidRPr="00CB3D59" w14:paraId="294BDD9A" w14:textId="77777777">
      <w:tc>
        <w:tcPr>
          <w:tcW w:w="4100" w:type="pct"/>
        </w:tcPr>
        <w:p w14:paraId="516E2262" w14:textId="6A0304AD" w:rsidR="001E4518" w:rsidRPr="006D109C" w:rsidRDefault="001E4518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900" w:type="pct"/>
        </w:tcPr>
        <w:p w14:paraId="0929F294" w14:textId="2EC4C326" w:rsidR="001E4518" w:rsidRPr="006D109C" w:rsidRDefault="001E4518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1E4518" w:rsidRPr="00CB3D59" w14:paraId="1A093DC5" w14:textId="77777777">
      <w:trPr>
        <w:cantSplit/>
      </w:trPr>
      <w:tc>
        <w:tcPr>
          <w:tcW w:w="5000" w:type="pct"/>
          <w:gridSpan w:val="2"/>
          <w:tcBorders>
            <w:bottom w:val="single" w:sz="4" w:space="0" w:color="auto"/>
          </w:tcBorders>
        </w:tcPr>
        <w:p w14:paraId="5E811B82" w14:textId="2B1D83EF" w:rsidR="001E4518" w:rsidRPr="006D109C" w:rsidRDefault="001E4518" w:rsidP="00B136BA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B078E6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4A01E2">
            <w:rPr>
              <w:rFonts w:cs="Arial"/>
              <w:noProof/>
              <w:szCs w:val="18"/>
            </w:rPr>
            <w:t>11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6F93657C" w14:textId="77777777" w:rsidR="001E4518" w:rsidRDefault="001E4518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1E4518" w14:paraId="1E859432" w14:textId="77777777">
      <w:trPr>
        <w:jc w:val="center"/>
      </w:trPr>
      <w:tc>
        <w:tcPr>
          <w:tcW w:w="1234" w:type="dxa"/>
        </w:tcPr>
        <w:p w14:paraId="018855CA" w14:textId="77777777" w:rsidR="001E4518" w:rsidRDefault="001E4518">
          <w:pPr>
            <w:pStyle w:val="HeaderEven"/>
          </w:pPr>
        </w:p>
      </w:tc>
      <w:tc>
        <w:tcPr>
          <w:tcW w:w="6062" w:type="dxa"/>
        </w:tcPr>
        <w:p w14:paraId="664FCD58" w14:textId="77777777" w:rsidR="001E4518" w:rsidRDefault="001E4518">
          <w:pPr>
            <w:pStyle w:val="HeaderEven"/>
          </w:pPr>
        </w:p>
      </w:tc>
    </w:tr>
    <w:tr w:rsidR="001E4518" w14:paraId="26D579F5" w14:textId="77777777">
      <w:trPr>
        <w:jc w:val="center"/>
      </w:trPr>
      <w:tc>
        <w:tcPr>
          <w:tcW w:w="1234" w:type="dxa"/>
        </w:tcPr>
        <w:p w14:paraId="0592FE56" w14:textId="77777777" w:rsidR="001E4518" w:rsidRDefault="001E4518">
          <w:pPr>
            <w:pStyle w:val="HeaderEven"/>
          </w:pPr>
        </w:p>
      </w:tc>
      <w:tc>
        <w:tcPr>
          <w:tcW w:w="6062" w:type="dxa"/>
        </w:tcPr>
        <w:p w14:paraId="7333D73F" w14:textId="77777777" w:rsidR="001E4518" w:rsidRDefault="001E4518">
          <w:pPr>
            <w:pStyle w:val="HeaderEven"/>
          </w:pPr>
        </w:p>
      </w:tc>
    </w:tr>
    <w:tr w:rsidR="001E4518" w14:paraId="35884C43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66B47F66" w14:textId="77777777" w:rsidR="001E4518" w:rsidRDefault="001E4518">
          <w:pPr>
            <w:pStyle w:val="HeaderEven6"/>
          </w:pPr>
        </w:p>
      </w:tc>
    </w:tr>
  </w:tbl>
  <w:p w14:paraId="48E288DF" w14:textId="77777777" w:rsidR="001E4518" w:rsidRDefault="001E4518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1E4518" w14:paraId="30730D0F" w14:textId="77777777">
      <w:trPr>
        <w:jc w:val="center"/>
      </w:trPr>
      <w:tc>
        <w:tcPr>
          <w:tcW w:w="6062" w:type="dxa"/>
        </w:tcPr>
        <w:p w14:paraId="4887224F" w14:textId="77777777" w:rsidR="001E4518" w:rsidRDefault="001E4518">
          <w:pPr>
            <w:pStyle w:val="HeaderOdd"/>
          </w:pPr>
        </w:p>
      </w:tc>
      <w:tc>
        <w:tcPr>
          <w:tcW w:w="1234" w:type="dxa"/>
        </w:tcPr>
        <w:p w14:paraId="033C0406" w14:textId="77777777" w:rsidR="001E4518" w:rsidRDefault="001E4518">
          <w:pPr>
            <w:pStyle w:val="HeaderOdd"/>
          </w:pPr>
        </w:p>
      </w:tc>
    </w:tr>
    <w:tr w:rsidR="001E4518" w14:paraId="359FB68F" w14:textId="77777777">
      <w:trPr>
        <w:jc w:val="center"/>
      </w:trPr>
      <w:tc>
        <w:tcPr>
          <w:tcW w:w="6062" w:type="dxa"/>
        </w:tcPr>
        <w:p w14:paraId="48C8B8BD" w14:textId="77777777" w:rsidR="001E4518" w:rsidRDefault="001E4518">
          <w:pPr>
            <w:pStyle w:val="HeaderOdd"/>
          </w:pPr>
        </w:p>
      </w:tc>
      <w:tc>
        <w:tcPr>
          <w:tcW w:w="1234" w:type="dxa"/>
        </w:tcPr>
        <w:p w14:paraId="576415A8" w14:textId="77777777" w:rsidR="001E4518" w:rsidRDefault="001E4518">
          <w:pPr>
            <w:pStyle w:val="HeaderOdd"/>
          </w:pPr>
        </w:p>
      </w:tc>
    </w:tr>
    <w:tr w:rsidR="001E4518" w14:paraId="57691088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4B2B4E56" w14:textId="77777777" w:rsidR="001E4518" w:rsidRDefault="001E4518">
          <w:pPr>
            <w:pStyle w:val="HeaderOdd6"/>
          </w:pPr>
        </w:p>
      </w:tc>
    </w:tr>
  </w:tbl>
  <w:p w14:paraId="74AC22B2" w14:textId="77777777" w:rsidR="001E4518" w:rsidRDefault="001E45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7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0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1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31D03CEE"/>
    <w:multiLevelType w:val="hybridMultilevel"/>
    <w:tmpl w:val="5DB2CD8E"/>
    <w:lvl w:ilvl="0" w:tplc="0AA00832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42B861FE"/>
    <w:multiLevelType w:val="singleLevel"/>
    <w:tmpl w:val="F3B4C04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6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7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8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29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1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6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39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E9684D"/>
    <w:multiLevelType w:val="multilevel"/>
    <w:tmpl w:val="8438D3D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4"/>
  </w:num>
  <w:num w:numId="2">
    <w:abstractNumId w:val="19"/>
  </w:num>
  <w:num w:numId="3">
    <w:abstractNumId w:val="28"/>
  </w:num>
  <w:num w:numId="4">
    <w:abstractNumId w:val="38"/>
  </w:num>
  <w:num w:numId="5">
    <w:abstractNumId w:val="27"/>
  </w:num>
  <w:num w:numId="6">
    <w:abstractNumId w:val="10"/>
  </w:num>
  <w:num w:numId="7">
    <w:abstractNumId w:val="30"/>
  </w:num>
  <w:num w:numId="8">
    <w:abstractNumId w:val="26"/>
  </w:num>
  <w:num w:numId="9">
    <w:abstractNumId w:val="37"/>
  </w:num>
  <w:num w:numId="10">
    <w:abstractNumId w:val="25"/>
  </w:num>
  <w:num w:numId="11">
    <w:abstractNumId w:val="33"/>
  </w:num>
  <w:num w:numId="12">
    <w:abstractNumId w:val="22"/>
  </w:num>
  <w:num w:numId="13">
    <w:abstractNumId w:val="15"/>
  </w:num>
  <w:num w:numId="14">
    <w:abstractNumId w:val="34"/>
  </w:num>
  <w:num w:numId="15">
    <w:abstractNumId w:val="18"/>
  </w:num>
  <w:num w:numId="16">
    <w:abstractNumId w:val="12"/>
  </w:num>
  <w:num w:numId="17">
    <w:abstractNumId w:val="39"/>
    <w:lvlOverride w:ilvl="0">
      <w:startOverride w:val="1"/>
    </w:lvlOverride>
  </w:num>
  <w:num w:numId="18">
    <w:abstractNumId w:val="23"/>
  </w:num>
  <w:num w:numId="19">
    <w:abstractNumId w:val="40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31"/>
  </w:num>
  <w:num w:numId="24">
    <w:abstractNumId w:val="39"/>
  </w:num>
  <w:num w:numId="25">
    <w:abstractNumId w:val="21"/>
  </w:num>
  <w:num w:numId="26">
    <w:abstractNumId w:val="17"/>
  </w:num>
  <w:num w:numId="27">
    <w:abstractNumId w:val="36"/>
  </w:num>
  <w:num w:numId="28">
    <w:abstractNumId w:val="11"/>
  </w:num>
  <w:num w:numId="29">
    <w:abstractNumId w:val="29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3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53A"/>
    <w:rsid w:val="00000C1F"/>
    <w:rsid w:val="000038FA"/>
    <w:rsid w:val="000043A6"/>
    <w:rsid w:val="00004573"/>
    <w:rsid w:val="00005825"/>
    <w:rsid w:val="00007B5B"/>
    <w:rsid w:val="00007C25"/>
    <w:rsid w:val="00010003"/>
    <w:rsid w:val="00010513"/>
    <w:rsid w:val="0001127A"/>
    <w:rsid w:val="0001347E"/>
    <w:rsid w:val="00014635"/>
    <w:rsid w:val="00016E7D"/>
    <w:rsid w:val="0002034F"/>
    <w:rsid w:val="000215AA"/>
    <w:rsid w:val="00022FD6"/>
    <w:rsid w:val="0002517D"/>
    <w:rsid w:val="00025988"/>
    <w:rsid w:val="00030F5F"/>
    <w:rsid w:val="00031584"/>
    <w:rsid w:val="0003249F"/>
    <w:rsid w:val="000336E7"/>
    <w:rsid w:val="000347D7"/>
    <w:rsid w:val="000356CC"/>
    <w:rsid w:val="00036A2C"/>
    <w:rsid w:val="000417E5"/>
    <w:rsid w:val="000420DE"/>
    <w:rsid w:val="00043B03"/>
    <w:rsid w:val="000448E6"/>
    <w:rsid w:val="00046E24"/>
    <w:rsid w:val="00047170"/>
    <w:rsid w:val="00047369"/>
    <w:rsid w:val="000474F2"/>
    <w:rsid w:val="0005069E"/>
    <w:rsid w:val="00050DF5"/>
    <w:rsid w:val="000510F0"/>
    <w:rsid w:val="00052B1E"/>
    <w:rsid w:val="00054272"/>
    <w:rsid w:val="00054952"/>
    <w:rsid w:val="00055507"/>
    <w:rsid w:val="00055E30"/>
    <w:rsid w:val="00055EFB"/>
    <w:rsid w:val="000563B6"/>
    <w:rsid w:val="00061339"/>
    <w:rsid w:val="00063210"/>
    <w:rsid w:val="00064021"/>
    <w:rsid w:val="00064576"/>
    <w:rsid w:val="00065A43"/>
    <w:rsid w:val="000663A1"/>
    <w:rsid w:val="00066F6A"/>
    <w:rsid w:val="000702A7"/>
    <w:rsid w:val="000713D2"/>
    <w:rsid w:val="00072B06"/>
    <w:rsid w:val="00072D40"/>
    <w:rsid w:val="00072ED8"/>
    <w:rsid w:val="000756A0"/>
    <w:rsid w:val="00076609"/>
    <w:rsid w:val="00076F15"/>
    <w:rsid w:val="000812D4"/>
    <w:rsid w:val="00081D6E"/>
    <w:rsid w:val="0008211A"/>
    <w:rsid w:val="000838C5"/>
    <w:rsid w:val="00083C32"/>
    <w:rsid w:val="00083EA3"/>
    <w:rsid w:val="000901E7"/>
    <w:rsid w:val="0009038C"/>
    <w:rsid w:val="000906B4"/>
    <w:rsid w:val="0009074D"/>
    <w:rsid w:val="00091575"/>
    <w:rsid w:val="00092022"/>
    <w:rsid w:val="000922E7"/>
    <w:rsid w:val="0009454D"/>
    <w:rsid w:val="000949A6"/>
    <w:rsid w:val="00095165"/>
    <w:rsid w:val="0009641C"/>
    <w:rsid w:val="000978C2"/>
    <w:rsid w:val="000A1A4B"/>
    <w:rsid w:val="000A2213"/>
    <w:rsid w:val="000A4265"/>
    <w:rsid w:val="000A57F4"/>
    <w:rsid w:val="000A5DCB"/>
    <w:rsid w:val="000A637A"/>
    <w:rsid w:val="000A7FEE"/>
    <w:rsid w:val="000B16DC"/>
    <w:rsid w:val="000B1C99"/>
    <w:rsid w:val="000B2253"/>
    <w:rsid w:val="000B2F6E"/>
    <w:rsid w:val="000B2F77"/>
    <w:rsid w:val="000B3404"/>
    <w:rsid w:val="000B408B"/>
    <w:rsid w:val="000B414B"/>
    <w:rsid w:val="000B4951"/>
    <w:rsid w:val="000B5685"/>
    <w:rsid w:val="000B6D4D"/>
    <w:rsid w:val="000B6E8D"/>
    <w:rsid w:val="000B729E"/>
    <w:rsid w:val="000C3264"/>
    <w:rsid w:val="000C43A0"/>
    <w:rsid w:val="000C54A0"/>
    <w:rsid w:val="000C5BEA"/>
    <w:rsid w:val="000C687C"/>
    <w:rsid w:val="000C7832"/>
    <w:rsid w:val="000C7850"/>
    <w:rsid w:val="000D1126"/>
    <w:rsid w:val="000D54F2"/>
    <w:rsid w:val="000D73DC"/>
    <w:rsid w:val="000E29CA"/>
    <w:rsid w:val="000E4443"/>
    <w:rsid w:val="000E5145"/>
    <w:rsid w:val="000E576D"/>
    <w:rsid w:val="000E73A9"/>
    <w:rsid w:val="000F148A"/>
    <w:rsid w:val="000F2735"/>
    <w:rsid w:val="000F329E"/>
    <w:rsid w:val="000F402B"/>
    <w:rsid w:val="000F5208"/>
    <w:rsid w:val="001002C3"/>
    <w:rsid w:val="0010037A"/>
    <w:rsid w:val="00101528"/>
    <w:rsid w:val="00101633"/>
    <w:rsid w:val="00101908"/>
    <w:rsid w:val="001033CB"/>
    <w:rsid w:val="001041EE"/>
    <w:rsid w:val="001047CB"/>
    <w:rsid w:val="001053AD"/>
    <w:rsid w:val="001058DF"/>
    <w:rsid w:val="00106D67"/>
    <w:rsid w:val="001071AB"/>
    <w:rsid w:val="00107289"/>
    <w:rsid w:val="00107F85"/>
    <w:rsid w:val="001113E8"/>
    <w:rsid w:val="00113463"/>
    <w:rsid w:val="00113EE7"/>
    <w:rsid w:val="00122A6F"/>
    <w:rsid w:val="00122F65"/>
    <w:rsid w:val="00123FF7"/>
    <w:rsid w:val="001242F1"/>
    <w:rsid w:val="00125361"/>
    <w:rsid w:val="00126287"/>
    <w:rsid w:val="00127CD1"/>
    <w:rsid w:val="0013046D"/>
    <w:rsid w:val="001315A1"/>
    <w:rsid w:val="00132957"/>
    <w:rsid w:val="001343A6"/>
    <w:rsid w:val="0013463B"/>
    <w:rsid w:val="0013531D"/>
    <w:rsid w:val="00136FBE"/>
    <w:rsid w:val="001379D5"/>
    <w:rsid w:val="00137BA1"/>
    <w:rsid w:val="001405FE"/>
    <w:rsid w:val="00141AB7"/>
    <w:rsid w:val="001431C1"/>
    <w:rsid w:val="00145A62"/>
    <w:rsid w:val="00146D4E"/>
    <w:rsid w:val="00147781"/>
    <w:rsid w:val="00147AD6"/>
    <w:rsid w:val="00150851"/>
    <w:rsid w:val="001520FC"/>
    <w:rsid w:val="001533C1"/>
    <w:rsid w:val="00153482"/>
    <w:rsid w:val="00154977"/>
    <w:rsid w:val="001570F0"/>
    <w:rsid w:val="001572E4"/>
    <w:rsid w:val="00160DF7"/>
    <w:rsid w:val="00162C44"/>
    <w:rsid w:val="00164204"/>
    <w:rsid w:val="001654F6"/>
    <w:rsid w:val="00165769"/>
    <w:rsid w:val="00166B9B"/>
    <w:rsid w:val="00166FE6"/>
    <w:rsid w:val="0017182C"/>
    <w:rsid w:val="00172D13"/>
    <w:rsid w:val="001741FF"/>
    <w:rsid w:val="001742F8"/>
    <w:rsid w:val="00176AE6"/>
    <w:rsid w:val="00180311"/>
    <w:rsid w:val="001815FB"/>
    <w:rsid w:val="00181D8C"/>
    <w:rsid w:val="00181F35"/>
    <w:rsid w:val="00182F74"/>
    <w:rsid w:val="001842C7"/>
    <w:rsid w:val="00185502"/>
    <w:rsid w:val="001874AF"/>
    <w:rsid w:val="001926EE"/>
    <w:rsid w:val="0019297A"/>
    <w:rsid w:val="00192D1E"/>
    <w:rsid w:val="001932A7"/>
    <w:rsid w:val="00193333"/>
    <w:rsid w:val="00193D6B"/>
    <w:rsid w:val="00193F17"/>
    <w:rsid w:val="00195101"/>
    <w:rsid w:val="0019550C"/>
    <w:rsid w:val="00196338"/>
    <w:rsid w:val="00196963"/>
    <w:rsid w:val="00197206"/>
    <w:rsid w:val="001A09E0"/>
    <w:rsid w:val="001A1A46"/>
    <w:rsid w:val="001A1A6D"/>
    <w:rsid w:val="001A1F54"/>
    <w:rsid w:val="001A1F80"/>
    <w:rsid w:val="001A2D8D"/>
    <w:rsid w:val="001A311D"/>
    <w:rsid w:val="001A351C"/>
    <w:rsid w:val="001A3B6D"/>
    <w:rsid w:val="001A56FF"/>
    <w:rsid w:val="001A5C54"/>
    <w:rsid w:val="001A6864"/>
    <w:rsid w:val="001A7F7E"/>
    <w:rsid w:val="001B0317"/>
    <w:rsid w:val="001B056F"/>
    <w:rsid w:val="001B1114"/>
    <w:rsid w:val="001B1656"/>
    <w:rsid w:val="001B1722"/>
    <w:rsid w:val="001B1AD4"/>
    <w:rsid w:val="001B1D94"/>
    <w:rsid w:val="001B218A"/>
    <w:rsid w:val="001B3B53"/>
    <w:rsid w:val="001B449A"/>
    <w:rsid w:val="001B6311"/>
    <w:rsid w:val="001B6BC0"/>
    <w:rsid w:val="001B6EAC"/>
    <w:rsid w:val="001C07B9"/>
    <w:rsid w:val="001C11AB"/>
    <w:rsid w:val="001C1644"/>
    <w:rsid w:val="001C1A5E"/>
    <w:rsid w:val="001C1E31"/>
    <w:rsid w:val="001C29A3"/>
    <w:rsid w:val="001C29CC"/>
    <w:rsid w:val="001C4663"/>
    <w:rsid w:val="001C4A67"/>
    <w:rsid w:val="001C547E"/>
    <w:rsid w:val="001C5830"/>
    <w:rsid w:val="001D09C2"/>
    <w:rsid w:val="001D1160"/>
    <w:rsid w:val="001D15FB"/>
    <w:rsid w:val="001D16E3"/>
    <w:rsid w:val="001D1702"/>
    <w:rsid w:val="001D1F85"/>
    <w:rsid w:val="001D53F0"/>
    <w:rsid w:val="001D56B4"/>
    <w:rsid w:val="001D5EA9"/>
    <w:rsid w:val="001D73DF"/>
    <w:rsid w:val="001E0780"/>
    <w:rsid w:val="001E0BBC"/>
    <w:rsid w:val="001E1A01"/>
    <w:rsid w:val="001E2F56"/>
    <w:rsid w:val="001E4518"/>
    <w:rsid w:val="001E4694"/>
    <w:rsid w:val="001E5D92"/>
    <w:rsid w:val="001E7836"/>
    <w:rsid w:val="001E79DB"/>
    <w:rsid w:val="001F3DB4"/>
    <w:rsid w:val="001F55E5"/>
    <w:rsid w:val="001F5A2B"/>
    <w:rsid w:val="001F64E4"/>
    <w:rsid w:val="00200557"/>
    <w:rsid w:val="002012E6"/>
    <w:rsid w:val="00202420"/>
    <w:rsid w:val="00203655"/>
    <w:rsid w:val="002037B2"/>
    <w:rsid w:val="00203956"/>
    <w:rsid w:val="002048AC"/>
    <w:rsid w:val="00204E34"/>
    <w:rsid w:val="0020505C"/>
    <w:rsid w:val="00205BB0"/>
    <w:rsid w:val="0020610F"/>
    <w:rsid w:val="00212BF6"/>
    <w:rsid w:val="00213C32"/>
    <w:rsid w:val="00215F2E"/>
    <w:rsid w:val="00217ABF"/>
    <w:rsid w:val="00217C8C"/>
    <w:rsid w:val="002208AF"/>
    <w:rsid w:val="002210E5"/>
    <w:rsid w:val="0022149F"/>
    <w:rsid w:val="002217F5"/>
    <w:rsid w:val="00222219"/>
    <w:rsid w:val="002222A8"/>
    <w:rsid w:val="00223933"/>
    <w:rsid w:val="00225307"/>
    <w:rsid w:val="002263A5"/>
    <w:rsid w:val="00231509"/>
    <w:rsid w:val="002337F1"/>
    <w:rsid w:val="00234574"/>
    <w:rsid w:val="00235901"/>
    <w:rsid w:val="002363F5"/>
    <w:rsid w:val="002409EB"/>
    <w:rsid w:val="00245B4A"/>
    <w:rsid w:val="00246F34"/>
    <w:rsid w:val="002502C9"/>
    <w:rsid w:val="0025087D"/>
    <w:rsid w:val="0025394C"/>
    <w:rsid w:val="002549B7"/>
    <w:rsid w:val="00256093"/>
    <w:rsid w:val="00256598"/>
    <w:rsid w:val="00256E0F"/>
    <w:rsid w:val="00260019"/>
    <w:rsid w:val="0026001C"/>
    <w:rsid w:val="00260991"/>
    <w:rsid w:val="00260CE2"/>
    <w:rsid w:val="002612B5"/>
    <w:rsid w:val="00263163"/>
    <w:rsid w:val="002644DC"/>
    <w:rsid w:val="0026481D"/>
    <w:rsid w:val="00267BE3"/>
    <w:rsid w:val="002702D4"/>
    <w:rsid w:val="00271DD7"/>
    <w:rsid w:val="0027250A"/>
    <w:rsid w:val="00272968"/>
    <w:rsid w:val="00272C31"/>
    <w:rsid w:val="00273B6D"/>
    <w:rsid w:val="00274C45"/>
    <w:rsid w:val="00274C73"/>
    <w:rsid w:val="00275CE9"/>
    <w:rsid w:val="00276DF6"/>
    <w:rsid w:val="00277A54"/>
    <w:rsid w:val="00281918"/>
    <w:rsid w:val="00282B0F"/>
    <w:rsid w:val="00283210"/>
    <w:rsid w:val="00283DD8"/>
    <w:rsid w:val="00286DA5"/>
    <w:rsid w:val="00287065"/>
    <w:rsid w:val="00290D70"/>
    <w:rsid w:val="0029692F"/>
    <w:rsid w:val="002A1561"/>
    <w:rsid w:val="002A1B8B"/>
    <w:rsid w:val="002A2004"/>
    <w:rsid w:val="002A3CEB"/>
    <w:rsid w:val="002A6F4D"/>
    <w:rsid w:val="002A756E"/>
    <w:rsid w:val="002B19D4"/>
    <w:rsid w:val="002B2682"/>
    <w:rsid w:val="002B3353"/>
    <w:rsid w:val="002B4FC7"/>
    <w:rsid w:val="002B58FC"/>
    <w:rsid w:val="002B62AD"/>
    <w:rsid w:val="002B6563"/>
    <w:rsid w:val="002B75A8"/>
    <w:rsid w:val="002C0BC3"/>
    <w:rsid w:val="002C125B"/>
    <w:rsid w:val="002C33D2"/>
    <w:rsid w:val="002C5DB3"/>
    <w:rsid w:val="002C759E"/>
    <w:rsid w:val="002C7985"/>
    <w:rsid w:val="002D0631"/>
    <w:rsid w:val="002D09CB"/>
    <w:rsid w:val="002D26C1"/>
    <w:rsid w:val="002D26EA"/>
    <w:rsid w:val="002D2A42"/>
    <w:rsid w:val="002D2FE5"/>
    <w:rsid w:val="002D5490"/>
    <w:rsid w:val="002D77E8"/>
    <w:rsid w:val="002D7888"/>
    <w:rsid w:val="002D7E26"/>
    <w:rsid w:val="002D7F3A"/>
    <w:rsid w:val="002E01EA"/>
    <w:rsid w:val="002E144D"/>
    <w:rsid w:val="002E4B94"/>
    <w:rsid w:val="002E6E0C"/>
    <w:rsid w:val="002E7912"/>
    <w:rsid w:val="002E7C30"/>
    <w:rsid w:val="002F29D9"/>
    <w:rsid w:val="002F41E0"/>
    <w:rsid w:val="002F43A0"/>
    <w:rsid w:val="002F5DF3"/>
    <w:rsid w:val="002F696A"/>
    <w:rsid w:val="002F7C50"/>
    <w:rsid w:val="003001EB"/>
    <w:rsid w:val="003003EC"/>
    <w:rsid w:val="00300C7B"/>
    <w:rsid w:val="0030166B"/>
    <w:rsid w:val="00301F87"/>
    <w:rsid w:val="00303214"/>
    <w:rsid w:val="00303D53"/>
    <w:rsid w:val="00305210"/>
    <w:rsid w:val="00306061"/>
    <w:rsid w:val="003068E0"/>
    <w:rsid w:val="003108D1"/>
    <w:rsid w:val="0031143F"/>
    <w:rsid w:val="00314266"/>
    <w:rsid w:val="00315B62"/>
    <w:rsid w:val="003179E8"/>
    <w:rsid w:val="00317D1A"/>
    <w:rsid w:val="00317FDC"/>
    <w:rsid w:val="0032063D"/>
    <w:rsid w:val="00321389"/>
    <w:rsid w:val="00325B6B"/>
    <w:rsid w:val="0033012D"/>
    <w:rsid w:val="00331203"/>
    <w:rsid w:val="0033259A"/>
    <w:rsid w:val="003344D3"/>
    <w:rsid w:val="00336345"/>
    <w:rsid w:val="00337D37"/>
    <w:rsid w:val="003405FF"/>
    <w:rsid w:val="00342E3D"/>
    <w:rsid w:val="0034336E"/>
    <w:rsid w:val="00344D01"/>
    <w:rsid w:val="00344F06"/>
    <w:rsid w:val="0034583F"/>
    <w:rsid w:val="00345F53"/>
    <w:rsid w:val="003478D2"/>
    <w:rsid w:val="00351541"/>
    <w:rsid w:val="00351AF4"/>
    <w:rsid w:val="00353FF3"/>
    <w:rsid w:val="00355AD9"/>
    <w:rsid w:val="003574D1"/>
    <w:rsid w:val="003605A9"/>
    <w:rsid w:val="00361A57"/>
    <w:rsid w:val="003635C2"/>
    <w:rsid w:val="0036387B"/>
    <w:rsid w:val="003646D5"/>
    <w:rsid w:val="00364CF8"/>
    <w:rsid w:val="003655C7"/>
    <w:rsid w:val="003659ED"/>
    <w:rsid w:val="00367097"/>
    <w:rsid w:val="003700C0"/>
    <w:rsid w:val="00370AE8"/>
    <w:rsid w:val="00370D1D"/>
    <w:rsid w:val="003712D0"/>
    <w:rsid w:val="00371C11"/>
    <w:rsid w:val="0037245E"/>
    <w:rsid w:val="00372EF0"/>
    <w:rsid w:val="003736DD"/>
    <w:rsid w:val="00375B2E"/>
    <w:rsid w:val="00377D1F"/>
    <w:rsid w:val="00380529"/>
    <w:rsid w:val="003811AA"/>
    <w:rsid w:val="0038162A"/>
    <w:rsid w:val="003818C6"/>
    <w:rsid w:val="00381D64"/>
    <w:rsid w:val="00382B7C"/>
    <w:rsid w:val="00385097"/>
    <w:rsid w:val="0038740B"/>
    <w:rsid w:val="003908E4"/>
    <w:rsid w:val="00390F10"/>
    <w:rsid w:val="00391C6F"/>
    <w:rsid w:val="0039435E"/>
    <w:rsid w:val="003950E6"/>
    <w:rsid w:val="003957A9"/>
    <w:rsid w:val="00396646"/>
    <w:rsid w:val="00396B0E"/>
    <w:rsid w:val="003A023F"/>
    <w:rsid w:val="003A0664"/>
    <w:rsid w:val="003A0EC2"/>
    <w:rsid w:val="003A160E"/>
    <w:rsid w:val="003A2596"/>
    <w:rsid w:val="003A291F"/>
    <w:rsid w:val="003A44BB"/>
    <w:rsid w:val="003A779F"/>
    <w:rsid w:val="003A7A6C"/>
    <w:rsid w:val="003B01DB"/>
    <w:rsid w:val="003B0F80"/>
    <w:rsid w:val="003B1F24"/>
    <w:rsid w:val="003B2C7A"/>
    <w:rsid w:val="003B31A1"/>
    <w:rsid w:val="003B6174"/>
    <w:rsid w:val="003C0702"/>
    <w:rsid w:val="003C0A3A"/>
    <w:rsid w:val="003C315F"/>
    <w:rsid w:val="003C31F5"/>
    <w:rsid w:val="003C399D"/>
    <w:rsid w:val="003C3AF4"/>
    <w:rsid w:val="003C50A2"/>
    <w:rsid w:val="003C6C24"/>
    <w:rsid w:val="003C6DE9"/>
    <w:rsid w:val="003C6EA0"/>
    <w:rsid w:val="003C6EDF"/>
    <w:rsid w:val="003C7B9C"/>
    <w:rsid w:val="003D0740"/>
    <w:rsid w:val="003D18F3"/>
    <w:rsid w:val="003D440E"/>
    <w:rsid w:val="003D4AAE"/>
    <w:rsid w:val="003D4C75"/>
    <w:rsid w:val="003D7254"/>
    <w:rsid w:val="003E0653"/>
    <w:rsid w:val="003E36FF"/>
    <w:rsid w:val="003E3750"/>
    <w:rsid w:val="003E4031"/>
    <w:rsid w:val="003E6B00"/>
    <w:rsid w:val="003E6C28"/>
    <w:rsid w:val="003E78BA"/>
    <w:rsid w:val="003E7A3A"/>
    <w:rsid w:val="003E7FDB"/>
    <w:rsid w:val="003F06EE"/>
    <w:rsid w:val="003F3B87"/>
    <w:rsid w:val="003F4912"/>
    <w:rsid w:val="003F5904"/>
    <w:rsid w:val="003F7A0F"/>
    <w:rsid w:val="003F7DB2"/>
    <w:rsid w:val="004005F0"/>
    <w:rsid w:val="0040136F"/>
    <w:rsid w:val="00402085"/>
    <w:rsid w:val="00402A9E"/>
    <w:rsid w:val="004033B4"/>
    <w:rsid w:val="00403645"/>
    <w:rsid w:val="00404FE0"/>
    <w:rsid w:val="0040533C"/>
    <w:rsid w:val="00405D61"/>
    <w:rsid w:val="00406141"/>
    <w:rsid w:val="0040795B"/>
    <w:rsid w:val="00410C20"/>
    <w:rsid w:val="004110BA"/>
    <w:rsid w:val="00413E15"/>
    <w:rsid w:val="004145BA"/>
    <w:rsid w:val="00416193"/>
    <w:rsid w:val="00416A4F"/>
    <w:rsid w:val="00423AC4"/>
    <w:rsid w:val="00424F90"/>
    <w:rsid w:val="0042799E"/>
    <w:rsid w:val="00430B73"/>
    <w:rsid w:val="00431A97"/>
    <w:rsid w:val="00431B34"/>
    <w:rsid w:val="004322EB"/>
    <w:rsid w:val="00433064"/>
    <w:rsid w:val="0043483D"/>
    <w:rsid w:val="00435893"/>
    <w:rsid w:val="004358D2"/>
    <w:rsid w:val="0044067A"/>
    <w:rsid w:val="00440811"/>
    <w:rsid w:val="0044144A"/>
    <w:rsid w:val="00442F56"/>
    <w:rsid w:val="00443ADD"/>
    <w:rsid w:val="00443C29"/>
    <w:rsid w:val="00444785"/>
    <w:rsid w:val="00446EAD"/>
    <w:rsid w:val="00446FA3"/>
    <w:rsid w:val="00446FFB"/>
    <w:rsid w:val="00447B1D"/>
    <w:rsid w:val="00447C31"/>
    <w:rsid w:val="004510ED"/>
    <w:rsid w:val="004517BB"/>
    <w:rsid w:val="0045223B"/>
    <w:rsid w:val="004536AA"/>
    <w:rsid w:val="0045398D"/>
    <w:rsid w:val="00455046"/>
    <w:rsid w:val="00456074"/>
    <w:rsid w:val="00456F7B"/>
    <w:rsid w:val="00456F91"/>
    <w:rsid w:val="00457476"/>
    <w:rsid w:val="0046076C"/>
    <w:rsid w:val="00460864"/>
    <w:rsid w:val="00460A67"/>
    <w:rsid w:val="00461107"/>
    <w:rsid w:val="004614FB"/>
    <w:rsid w:val="00461D78"/>
    <w:rsid w:val="004624D8"/>
    <w:rsid w:val="00462B21"/>
    <w:rsid w:val="00464372"/>
    <w:rsid w:val="0046485F"/>
    <w:rsid w:val="00464D34"/>
    <w:rsid w:val="00464FF8"/>
    <w:rsid w:val="004651D5"/>
    <w:rsid w:val="00465B33"/>
    <w:rsid w:val="00470620"/>
    <w:rsid w:val="00470B8D"/>
    <w:rsid w:val="00471400"/>
    <w:rsid w:val="00472639"/>
    <w:rsid w:val="00472DD2"/>
    <w:rsid w:val="00474872"/>
    <w:rsid w:val="00475017"/>
    <w:rsid w:val="004751D3"/>
    <w:rsid w:val="00475F03"/>
    <w:rsid w:val="00476DCA"/>
    <w:rsid w:val="004771C3"/>
    <w:rsid w:val="0047771B"/>
    <w:rsid w:val="004806EC"/>
    <w:rsid w:val="00480A8E"/>
    <w:rsid w:val="00481A3C"/>
    <w:rsid w:val="00481F9D"/>
    <w:rsid w:val="00482C91"/>
    <w:rsid w:val="0048525E"/>
    <w:rsid w:val="00485360"/>
    <w:rsid w:val="00486FE2"/>
    <w:rsid w:val="004875BE"/>
    <w:rsid w:val="00487D5F"/>
    <w:rsid w:val="00491236"/>
    <w:rsid w:val="00491D7C"/>
    <w:rsid w:val="004930E3"/>
    <w:rsid w:val="00493ED5"/>
    <w:rsid w:val="00494267"/>
    <w:rsid w:val="00497D33"/>
    <w:rsid w:val="004A01E2"/>
    <w:rsid w:val="004A1E58"/>
    <w:rsid w:val="004A1E86"/>
    <w:rsid w:val="004A2333"/>
    <w:rsid w:val="004A2F70"/>
    <w:rsid w:val="004A2FDC"/>
    <w:rsid w:val="004A32C4"/>
    <w:rsid w:val="004A3D43"/>
    <w:rsid w:val="004A506D"/>
    <w:rsid w:val="004A7C88"/>
    <w:rsid w:val="004B0E9D"/>
    <w:rsid w:val="004B2772"/>
    <w:rsid w:val="004B2B6C"/>
    <w:rsid w:val="004B5B98"/>
    <w:rsid w:val="004C21B3"/>
    <w:rsid w:val="004C2A16"/>
    <w:rsid w:val="004C2A44"/>
    <w:rsid w:val="004C5ABE"/>
    <w:rsid w:val="004C724A"/>
    <w:rsid w:val="004D0BC5"/>
    <w:rsid w:val="004D1322"/>
    <w:rsid w:val="004D1BFA"/>
    <w:rsid w:val="004D4557"/>
    <w:rsid w:val="004D4C54"/>
    <w:rsid w:val="004D53B8"/>
    <w:rsid w:val="004D5C4D"/>
    <w:rsid w:val="004E2567"/>
    <w:rsid w:val="004E2568"/>
    <w:rsid w:val="004E3576"/>
    <w:rsid w:val="004E6155"/>
    <w:rsid w:val="004F1050"/>
    <w:rsid w:val="004F25B3"/>
    <w:rsid w:val="004F5C55"/>
    <w:rsid w:val="004F6688"/>
    <w:rsid w:val="004F677C"/>
    <w:rsid w:val="005007AA"/>
    <w:rsid w:val="00501495"/>
    <w:rsid w:val="00503007"/>
    <w:rsid w:val="00503AE3"/>
    <w:rsid w:val="00504282"/>
    <w:rsid w:val="005055B0"/>
    <w:rsid w:val="0050662E"/>
    <w:rsid w:val="00507723"/>
    <w:rsid w:val="00510457"/>
    <w:rsid w:val="00512972"/>
    <w:rsid w:val="0051463E"/>
    <w:rsid w:val="00514F25"/>
    <w:rsid w:val="00515082"/>
    <w:rsid w:val="00515D68"/>
    <w:rsid w:val="00515E14"/>
    <w:rsid w:val="0051649F"/>
    <w:rsid w:val="005171DC"/>
    <w:rsid w:val="00517B7D"/>
    <w:rsid w:val="005200E2"/>
    <w:rsid w:val="00520975"/>
    <w:rsid w:val="0052097D"/>
    <w:rsid w:val="00520DDA"/>
    <w:rsid w:val="0052131C"/>
    <w:rsid w:val="005218EE"/>
    <w:rsid w:val="005249B7"/>
    <w:rsid w:val="00524CBC"/>
    <w:rsid w:val="005259D1"/>
    <w:rsid w:val="0052612D"/>
    <w:rsid w:val="00526904"/>
    <w:rsid w:val="00531AF6"/>
    <w:rsid w:val="00531E44"/>
    <w:rsid w:val="005337EA"/>
    <w:rsid w:val="005340BF"/>
    <w:rsid w:val="0053499F"/>
    <w:rsid w:val="00534B95"/>
    <w:rsid w:val="005350E2"/>
    <w:rsid w:val="0053623E"/>
    <w:rsid w:val="00542E65"/>
    <w:rsid w:val="00543739"/>
    <w:rsid w:val="0054378B"/>
    <w:rsid w:val="00544938"/>
    <w:rsid w:val="0054702D"/>
    <w:rsid w:val="005474CA"/>
    <w:rsid w:val="00547C35"/>
    <w:rsid w:val="005504DC"/>
    <w:rsid w:val="0055106C"/>
    <w:rsid w:val="005519D0"/>
    <w:rsid w:val="00551DB5"/>
    <w:rsid w:val="00552735"/>
    <w:rsid w:val="00552FFB"/>
    <w:rsid w:val="00553EA6"/>
    <w:rsid w:val="005569CD"/>
    <w:rsid w:val="00562392"/>
    <w:rsid w:val="005623AE"/>
    <w:rsid w:val="005629A3"/>
    <w:rsid w:val="0056302F"/>
    <w:rsid w:val="005658C2"/>
    <w:rsid w:val="00566B7A"/>
    <w:rsid w:val="00567644"/>
    <w:rsid w:val="00567CF2"/>
    <w:rsid w:val="00570680"/>
    <w:rsid w:val="005710D7"/>
    <w:rsid w:val="00571859"/>
    <w:rsid w:val="005726D2"/>
    <w:rsid w:val="00574382"/>
    <w:rsid w:val="00574534"/>
    <w:rsid w:val="00575646"/>
    <w:rsid w:val="005768D1"/>
    <w:rsid w:val="00577880"/>
    <w:rsid w:val="005808F9"/>
    <w:rsid w:val="00580EBD"/>
    <w:rsid w:val="00583119"/>
    <w:rsid w:val="005840DF"/>
    <w:rsid w:val="005859BF"/>
    <w:rsid w:val="00585FF0"/>
    <w:rsid w:val="00586796"/>
    <w:rsid w:val="00587DFD"/>
    <w:rsid w:val="0059122B"/>
    <w:rsid w:val="005913D8"/>
    <w:rsid w:val="00591E99"/>
    <w:rsid w:val="0059278C"/>
    <w:rsid w:val="00592902"/>
    <w:rsid w:val="00596BB3"/>
    <w:rsid w:val="005A0AD6"/>
    <w:rsid w:val="005A0FCC"/>
    <w:rsid w:val="005A4EE0"/>
    <w:rsid w:val="005A5916"/>
    <w:rsid w:val="005B5736"/>
    <w:rsid w:val="005B6644"/>
    <w:rsid w:val="005B6C66"/>
    <w:rsid w:val="005C28C5"/>
    <w:rsid w:val="005C2928"/>
    <w:rsid w:val="005C297B"/>
    <w:rsid w:val="005C2E30"/>
    <w:rsid w:val="005C3189"/>
    <w:rsid w:val="005C4167"/>
    <w:rsid w:val="005C4AF9"/>
    <w:rsid w:val="005D1B78"/>
    <w:rsid w:val="005D425A"/>
    <w:rsid w:val="005D47C0"/>
    <w:rsid w:val="005D4FA2"/>
    <w:rsid w:val="005D7160"/>
    <w:rsid w:val="005D7B58"/>
    <w:rsid w:val="005D7FA9"/>
    <w:rsid w:val="005E077A"/>
    <w:rsid w:val="005E0ECD"/>
    <w:rsid w:val="005E14CB"/>
    <w:rsid w:val="005E29D5"/>
    <w:rsid w:val="005E3659"/>
    <w:rsid w:val="005E4E52"/>
    <w:rsid w:val="005E5186"/>
    <w:rsid w:val="005E749D"/>
    <w:rsid w:val="005F02CA"/>
    <w:rsid w:val="005F32C2"/>
    <w:rsid w:val="005F3BDF"/>
    <w:rsid w:val="005F3E57"/>
    <w:rsid w:val="005F56A8"/>
    <w:rsid w:val="005F58E5"/>
    <w:rsid w:val="006023E6"/>
    <w:rsid w:val="00606248"/>
    <w:rsid w:val="006065D7"/>
    <w:rsid w:val="006065EF"/>
    <w:rsid w:val="00606D52"/>
    <w:rsid w:val="00610E78"/>
    <w:rsid w:val="00612BA6"/>
    <w:rsid w:val="006144FC"/>
    <w:rsid w:val="00614787"/>
    <w:rsid w:val="00614A30"/>
    <w:rsid w:val="006157AA"/>
    <w:rsid w:val="00616C21"/>
    <w:rsid w:val="00621CA9"/>
    <w:rsid w:val="00622136"/>
    <w:rsid w:val="0062275E"/>
    <w:rsid w:val="006236B5"/>
    <w:rsid w:val="006253B7"/>
    <w:rsid w:val="006261E7"/>
    <w:rsid w:val="00630D71"/>
    <w:rsid w:val="006320A3"/>
    <w:rsid w:val="00632582"/>
    <w:rsid w:val="00634E46"/>
    <w:rsid w:val="006355F4"/>
    <w:rsid w:val="00636DC6"/>
    <w:rsid w:val="00637058"/>
    <w:rsid w:val="00641C9A"/>
    <w:rsid w:val="00641CC6"/>
    <w:rsid w:val="00641D92"/>
    <w:rsid w:val="006430DD"/>
    <w:rsid w:val="006435C2"/>
    <w:rsid w:val="00643F71"/>
    <w:rsid w:val="0064562D"/>
    <w:rsid w:val="00645E4E"/>
    <w:rsid w:val="00646AED"/>
    <w:rsid w:val="00646C1D"/>
    <w:rsid w:val="00646CA9"/>
    <w:rsid w:val="006473C1"/>
    <w:rsid w:val="00651669"/>
    <w:rsid w:val="00651FCE"/>
    <w:rsid w:val="006522E1"/>
    <w:rsid w:val="00652803"/>
    <w:rsid w:val="0065310F"/>
    <w:rsid w:val="00654436"/>
    <w:rsid w:val="00654C2B"/>
    <w:rsid w:val="006564B9"/>
    <w:rsid w:val="00656C84"/>
    <w:rsid w:val="006570FC"/>
    <w:rsid w:val="00660E96"/>
    <w:rsid w:val="00663415"/>
    <w:rsid w:val="0066360C"/>
    <w:rsid w:val="00663A03"/>
    <w:rsid w:val="00665508"/>
    <w:rsid w:val="00667638"/>
    <w:rsid w:val="00670405"/>
    <w:rsid w:val="00671280"/>
    <w:rsid w:val="00671AC6"/>
    <w:rsid w:val="00671B34"/>
    <w:rsid w:val="00671EA5"/>
    <w:rsid w:val="00673674"/>
    <w:rsid w:val="00673DEE"/>
    <w:rsid w:val="00673F6D"/>
    <w:rsid w:val="006747AA"/>
    <w:rsid w:val="00675E77"/>
    <w:rsid w:val="006767CB"/>
    <w:rsid w:val="006803BA"/>
    <w:rsid w:val="00680547"/>
    <w:rsid w:val="00680887"/>
    <w:rsid w:val="00680A09"/>
    <w:rsid w:val="00680A95"/>
    <w:rsid w:val="00681283"/>
    <w:rsid w:val="0068447C"/>
    <w:rsid w:val="00685233"/>
    <w:rsid w:val="006855FC"/>
    <w:rsid w:val="00687A2B"/>
    <w:rsid w:val="00691280"/>
    <w:rsid w:val="006932FB"/>
    <w:rsid w:val="00693B1C"/>
    <w:rsid w:val="00693C2C"/>
    <w:rsid w:val="00694725"/>
    <w:rsid w:val="00695E0C"/>
    <w:rsid w:val="006A0BD2"/>
    <w:rsid w:val="006A4174"/>
    <w:rsid w:val="006A511E"/>
    <w:rsid w:val="006B068C"/>
    <w:rsid w:val="006B13F2"/>
    <w:rsid w:val="006B3026"/>
    <w:rsid w:val="006B6AA1"/>
    <w:rsid w:val="006C02F6"/>
    <w:rsid w:val="006C08D3"/>
    <w:rsid w:val="006C265F"/>
    <w:rsid w:val="006C2E56"/>
    <w:rsid w:val="006C332F"/>
    <w:rsid w:val="006C3D19"/>
    <w:rsid w:val="006C552F"/>
    <w:rsid w:val="006C72AA"/>
    <w:rsid w:val="006C7AAC"/>
    <w:rsid w:val="006D05ED"/>
    <w:rsid w:val="006D0757"/>
    <w:rsid w:val="006D07E0"/>
    <w:rsid w:val="006D3568"/>
    <w:rsid w:val="006D3AEF"/>
    <w:rsid w:val="006D4993"/>
    <w:rsid w:val="006D6669"/>
    <w:rsid w:val="006D73FD"/>
    <w:rsid w:val="006D756E"/>
    <w:rsid w:val="006E0A8E"/>
    <w:rsid w:val="006E2568"/>
    <w:rsid w:val="006E272E"/>
    <w:rsid w:val="006E2B07"/>
    <w:rsid w:val="006E2DC7"/>
    <w:rsid w:val="006E5292"/>
    <w:rsid w:val="006E6D56"/>
    <w:rsid w:val="006E6D76"/>
    <w:rsid w:val="006F0C97"/>
    <w:rsid w:val="006F0F5E"/>
    <w:rsid w:val="006F2595"/>
    <w:rsid w:val="006F2941"/>
    <w:rsid w:val="006F6520"/>
    <w:rsid w:val="006F6E1E"/>
    <w:rsid w:val="006F7160"/>
    <w:rsid w:val="00700158"/>
    <w:rsid w:val="007020A1"/>
    <w:rsid w:val="00702F8D"/>
    <w:rsid w:val="00703E9F"/>
    <w:rsid w:val="00704185"/>
    <w:rsid w:val="00707DE6"/>
    <w:rsid w:val="00710296"/>
    <w:rsid w:val="007107CF"/>
    <w:rsid w:val="007110F9"/>
    <w:rsid w:val="00712115"/>
    <w:rsid w:val="007123AC"/>
    <w:rsid w:val="00715DE2"/>
    <w:rsid w:val="00716055"/>
    <w:rsid w:val="00716D6A"/>
    <w:rsid w:val="007205FA"/>
    <w:rsid w:val="00725EEE"/>
    <w:rsid w:val="00726FD8"/>
    <w:rsid w:val="00727BC5"/>
    <w:rsid w:val="00730107"/>
    <w:rsid w:val="00730D9E"/>
    <w:rsid w:val="00730E6E"/>
    <w:rsid w:val="00730EBF"/>
    <w:rsid w:val="007319BE"/>
    <w:rsid w:val="007327A5"/>
    <w:rsid w:val="007340AA"/>
    <w:rsid w:val="0073456C"/>
    <w:rsid w:val="00734DC1"/>
    <w:rsid w:val="007352CD"/>
    <w:rsid w:val="00737019"/>
    <w:rsid w:val="00737580"/>
    <w:rsid w:val="0074064C"/>
    <w:rsid w:val="007413C1"/>
    <w:rsid w:val="007419FD"/>
    <w:rsid w:val="007421C8"/>
    <w:rsid w:val="00743755"/>
    <w:rsid w:val="007437FB"/>
    <w:rsid w:val="00743B30"/>
    <w:rsid w:val="00744735"/>
    <w:rsid w:val="007449BF"/>
    <w:rsid w:val="0074503E"/>
    <w:rsid w:val="00746A43"/>
    <w:rsid w:val="00747C76"/>
    <w:rsid w:val="00750265"/>
    <w:rsid w:val="007514EB"/>
    <w:rsid w:val="00753ABC"/>
    <w:rsid w:val="0075581B"/>
    <w:rsid w:val="00756B61"/>
    <w:rsid w:val="00756CF6"/>
    <w:rsid w:val="00757268"/>
    <w:rsid w:val="0075734B"/>
    <w:rsid w:val="0075743D"/>
    <w:rsid w:val="00761C8E"/>
    <w:rsid w:val="007620AA"/>
    <w:rsid w:val="00762E3C"/>
    <w:rsid w:val="0076304B"/>
    <w:rsid w:val="00763210"/>
    <w:rsid w:val="007633A4"/>
    <w:rsid w:val="00763EBC"/>
    <w:rsid w:val="0076666F"/>
    <w:rsid w:val="00766D30"/>
    <w:rsid w:val="0076743E"/>
    <w:rsid w:val="007676F3"/>
    <w:rsid w:val="00770922"/>
    <w:rsid w:val="00770D68"/>
    <w:rsid w:val="00770EB6"/>
    <w:rsid w:val="0077185E"/>
    <w:rsid w:val="00773B26"/>
    <w:rsid w:val="00774A8C"/>
    <w:rsid w:val="00774EF9"/>
    <w:rsid w:val="00776635"/>
    <w:rsid w:val="00776724"/>
    <w:rsid w:val="007773DA"/>
    <w:rsid w:val="007807B1"/>
    <w:rsid w:val="0078210C"/>
    <w:rsid w:val="0078225F"/>
    <w:rsid w:val="00784BA5"/>
    <w:rsid w:val="0078654C"/>
    <w:rsid w:val="0078752D"/>
    <w:rsid w:val="007879F3"/>
    <w:rsid w:val="00792C4D"/>
    <w:rsid w:val="00793841"/>
    <w:rsid w:val="00793FEA"/>
    <w:rsid w:val="00794CA5"/>
    <w:rsid w:val="0079616A"/>
    <w:rsid w:val="007979AF"/>
    <w:rsid w:val="007A18B6"/>
    <w:rsid w:val="007A34F0"/>
    <w:rsid w:val="007A41BA"/>
    <w:rsid w:val="007A47E2"/>
    <w:rsid w:val="007A5C1E"/>
    <w:rsid w:val="007A68AC"/>
    <w:rsid w:val="007A6970"/>
    <w:rsid w:val="007A70B1"/>
    <w:rsid w:val="007B0967"/>
    <w:rsid w:val="007B0D31"/>
    <w:rsid w:val="007B1D57"/>
    <w:rsid w:val="007B32F0"/>
    <w:rsid w:val="007B3910"/>
    <w:rsid w:val="007B6D27"/>
    <w:rsid w:val="007B7D81"/>
    <w:rsid w:val="007C0D73"/>
    <w:rsid w:val="007C29F6"/>
    <w:rsid w:val="007C3BD1"/>
    <w:rsid w:val="007C401E"/>
    <w:rsid w:val="007C4693"/>
    <w:rsid w:val="007C4CB9"/>
    <w:rsid w:val="007D003C"/>
    <w:rsid w:val="007D2426"/>
    <w:rsid w:val="007D28C6"/>
    <w:rsid w:val="007D321A"/>
    <w:rsid w:val="007D3EA1"/>
    <w:rsid w:val="007D4773"/>
    <w:rsid w:val="007D61C5"/>
    <w:rsid w:val="007D78B4"/>
    <w:rsid w:val="007E02E4"/>
    <w:rsid w:val="007E10D3"/>
    <w:rsid w:val="007E2B37"/>
    <w:rsid w:val="007E4BB8"/>
    <w:rsid w:val="007E54BB"/>
    <w:rsid w:val="007E6376"/>
    <w:rsid w:val="007E7D15"/>
    <w:rsid w:val="007F0503"/>
    <w:rsid w:val="007F0D05"/>
    <w:rsid w:val="007F228D"/>
    <w:rsid w:val="007F30A9"/>
    <w:rsid w:val="007F3E33"/>
    <w:rsid w:val="007F79DA"/>
    <w:rsid w:val="00800B18"/>
    <w:rsid w:val="008015C5"/>
    <w:rsid w:val="00802AE6"/>
    <w:rsid w:val="00803FDD"/>
    <w:rsid w:val="00804649"/>
    <w:rsid w:val="0080584B"/>
    <w:rsid w:val="00805BAB"/>
    <w:rsid w:val="00806717"/>
    <w:rsid w:val="008109A6"/>
    <w:rsid w:val="00810DFB"/>
    <w:rsid w:val="008112E2"/>
    <w:rsid w:val="00811382"/>
    <w:rsid w:val="008121B4"/>
    <w:rsid w:val="0081229C"/>
    <w:rsid w:val="008125A2"/>
    <w:rsid w:val="00812793"/>
    <w:rsid w:val="008173DD"/>
    <w:rsid w:val="008208DD"/>
    <w:rsid w:val="00820CF5"/>
    <w:rsid w:val="00820EA3"/>
    <w:rsid w:val="008211B6"/>
    <w:rsid w:val="0082260E"/>
    <w:rsid w:val="008255E8"/>
    <w:rsid w:val="008267A3"/>
    <w:rsid w:val="00826BB2"/>
    <w:rsid w:val="00827747"/>
    <w:rsid w:val="0083086E"/>
    <w:rsid w:val="00830E97"/>
    <w:rsid w:val="00831FDA"/>
    <w:rsid w:val="0083262F"/>
    <w:rsid w:val="00833D0D"/>
    <w:rsid w:val="00834DA5"/>
    <w:rsid w:val="00837C34"/>
    <w:rsid w:val="00837C3E"/>
    <w:rsid w:val="00837DCE"/>
    <w:rsid w:val="00843CDB"/>
    <w:rsid w:val="00845C51"/>
    <w:rsid w:val="008464B3"/>
    <w:rsid w:val="00850545"/>
    <w:rsid w:val="00853164"/>
    <w:rsid w:val="008531E3"/>
    <w:rsid w:val="00853278"/>
    <w:rsid w:val="0085372F"/>
    <w:rsid w:val="00854172"/>
    <w:rsid w:val="0085538A"/>
    <w:rsid w:val="00856DC8"/>
    <w:rsid w:val="00860B3B"/>
    <w:rsid w:val="00860C08"/>
    <w:rsid w:val="00861327"/>
    <w:rsid w:val="00861D40"/>
    <w:rsid w:val="00862687"/>
    <w:rsid w:val="008628C6"/>
    <w:rsid w:val="008630BC"/>
    <w:rsid w:val="00865893"/>
    <w:rsid w:val="00866E4A"/>
    <w:rsid w:val="00866F6F"/>
    <w:rsid w:val="00867846"/>
    <w:rsid w:val="00867DC9"/>
    <w:rsid w:val="0087063D"/>
    <w:rsid w:val="008718D0"/>
    <w:rsid w:val="008719B7"/>
    <w:rsid w:val="0087564E"/>
    <w:rsid w:val="00875E43"/>
    <w:rsid w:val="00875F55"/>
    <w:rsid w:val="008803D6"/>
    <w:rsid w:val="0088081C"/>
    <w:rsid w:val="00882FF4"/>
    <w:rsid w:val="00883D8E"/>
    <w:rsid w:val="00884870"/>
    <w:rsid w:val="00884D43"/>
    <w:rsid w:val="008850BD"/>
    <w:rsid w:val="0089011A"/>
    <w:rsid w:val="0089523E"/>
    <w:rsid w:val="008955D1"/>
    <w:rsid w:val="00896657"/>
    <w:rsid w:val="008973E3"/>
    <w:rsid w:val="008A012C"/>
    <w:rsid w:val="008A0429"/>
    <w:rsid w:val="008A0CEE"/>
    <w:rsid w:val="008A3E95"/>
    <w:rsid w:val="008A4C1E"/>
    <w:rsid w:val="008A5381"/>
    <w:rsid w:val="008A7D7B"/>
    <w:rsid w:val="008B4701"/>
    <w:rsid w:val="008B62CD"/>
    <w:rsid w:val="008B6788"/>
    <w:rsid w:val="008B779C"/>
    <w:rsid w:val="008B7D6F"/>
    <w:rsid w:val="008C0762"/>
    <w:rsid w:val="008C0BCE"/>
    <w:rsid w:val="008C1258"/>
    <w:rsid w:val="008C1D5A"/>
    <w:rsid w:val="008C1F06"/>
    <w:rsid w:val="008C58D6"/>
    <w:rsid w:val="008C5B09"/>
    <w:rsid w:val="008C5FCD"/>
    <w:rsid w:val="008C72B4"/>
    <w:rsid w:val="008C72B5"/>
    <w:rsid w:val="008D16ED"/>
    <w:rsid w:val="008D1719"/>
    <w:rsid w:val="008D3931"/>
    <w:rsid w:val="008D6275"/>
    <w:rsid w:val="008E1838"/>
    <w:rsid w:val="008E2C2B"/>
    <w:rsid w:val="008E3EA7"/>
    <w:rsid w:val="008E5040"/>
    <w:rsid w:val="008E5BC9"/>
    <w:rsid w:val="008E7EE9"/>
    <w:rsid w:val="008F13A0"/>
    <w:rsid w:val="008F27EA"/>
    <w:rsid w:val="008F283D"/>
    <w:rsid w:val="008F39EB"/>
    <w:rsid w:val="008F3CA6"/>
    <w:rsid w:val="008F58FB"/>
    <w:rsid w:val="008F740F"/>
    <w:rsid w:val="009005E6"/>
    <w:rsid w:val="00900ACF"/>
    <w:rsid w:val="009016CF"/>
    <w:rsid w:val="0090415D"/>
    <w:rsid w:val="009044B5"/>
    <w:rsid w:val="00905684"/>
    <w:rsid w:val="00906FBC"/>
    <w:rsid w:val="00911C30"/>
    <w:rsid w:val="00913FC8"/>
    <w:rsid w:val="0091434D"/>
    <w:rsid w:val="00915B29"/>
    <w:rsid w:val="00916C91"/>
    <w:rsid w:val="0091758F"/>
    <w:rsid w:val="00920330"/>
    <w:rsid w:val="00921D2C"/>
    <w:rsid w:val="00922821"/>
    <w:rsid w:val="00922D23"/>
    <w:rsid w:val="00923380"/>
    <w:rsid w:val="0092414A"/>
    <w:rsid w:val="00924689"/>
    <w:rsid w:val="00924E20"/>
    <w:rsid w:val="00925BBA"/>
    <w:rsid w:val="00927090"/>
    <w:rsid w:val="00930553"/>
    <w:rsid w:val="009305C7"/>
    <w:rsid w:val="00930ACD"/>
    <w:rsid w:val="00932ADC"/>
    <w:rsid w:val="00932EA1"/>
    <w:rsid w:val="00933BC2"/>
    <w:rsid w:val="00934806"/>
    <w:rsid w:val="009351B1"/>
    <w:rsid w:val="009373B4"/>
    <w:rsid w:val="009410AF"/>
    <w:rsid w:val="009426B8"/>
    <w:rsid w:val="009442A3"/>
    <w:rsid w:val="00944C6B"/>
    <w:rsid w:val="009453C3"/>
    <w:rsid w:val="009470CF"/>
    <w:rsid w:val="00947698"/>
    <w:rsid w:val="009531DF"/>
    <w:rsid w:val="00954381"/>
    <w:rsid w:val="00954D27"/>
    <w:rsid w:val="00955D15"/>
    <w:rsid w:val="0095612A"/>
    <w:rsid w:val="0095635F"/>
    <w:rsid w:val="00956FCD"/>
    <w:rsid w:val="0095751B"/>
    <w:rsid w:val="00961488"/>
    <w:rsid w:val="00961E27"/>
    <w:rsid w:val="009620CA"/>
    <w:rsid w:val="00963019"/>
    <w:rsid w:val="00963647"/>
    <w:rsid w:val="009637D6"/>
    <w:rsid w:val="00963864"/>
    <w:rsid w:val="009651DD"/>
    <w:rsid w:val="009668E2"/>
    <w:rsid w:val="009675A1"/>
    <w:rsid w:val="00967AFD"/>
    <w:rsid w:val="00970604"/>
    <w:rsid w:val="00972325"/>
    <w:rsid w:val="009760E3"/>
    <w:rsid w:val="00976895"/>
    <w:rsid w:val="00981A91"/>
    <w:rsid w:val="00981C9E"/>
    <w:rsid w:val="0098443A"/>
    <w:rsid w:val="00984748"/>
    <w:rsid w:val="00984F09"/>
    <w:rsid w:val="00985615"/>
    <w:rsid w:val="00987D2C"/>
    <w:rsid w:val="00990164"/>
    <w:rsid w:val="00993D24"/>
    <w:rsid w:val="009942E9"/>
    <w:rsid w:val="00995539"/>
    <w:rsid w:val="009966FF"/>
    <w:rsid w:val="00997034"/>
    <w:rsid w:val="009971A9"/>
    <w:rsid w:val="009A0A6B"/>
    <w:rsid w:val="009A0FDB"/>
    <w:rsid w:val="009A2829"/>
    <w:rsid w:val="009A37D5"/>
    <w:rsid w:val="009A4B5D"/>
    <w:rsid w:val="009A586B"/>
    <w:rsid w:val="009A77C9"/>
    <w:rsid w:val="009A7EC2"/>
    <w:rsid w:val="009B0A60"/>
    <w:rsid w:val="009B4374"/>
    <w:rsid w:val="009B4592"/>
    <w:rsid w:val="009B4D57"/>
    <w:rsid w:val="009B56CF"/>
    <w:rsid w:val="009B60AA"/>
    <w:rsid w:val="009B6686"/>
    <w:rsid w:val="009B71E4"/>
    <w:rsid w:val="009C1166"/>
    <w:rsid w:val="009C12E7"/>
    <w:rsid w:val="009C137D"/>
    <w:rsid w:val="009C166E"/>
    <w:rsid w:val="009C17F8"/>
    <w:rsid w:val="009C1838"/>
    <w:rsid w:val="009C2421"/>
    <w:rsid w:val="009C5677"/>
    <w:rsid w:val="009C634A"/>
    <w:rsid w:val="009D063C"/>
    <w:rsid w:val="009D0A91"/>
    <w:rsid w:val="009D1380"/>
    <w:rsid w:val="009D20AA"/>
    <w:rsid w:val="009D22FC"/>
    <w:rsid w:val="009D34C8"/>
    <w:rsid w:val="009D3904"/>
    <w:rsid w:val="009D3D77"/>
    <w:rsid w:val="009D42E0"/>
    <w:rsid w:val="009D4319"/>
    <w:rsid w:val="009D558E"/>
    <w:rsid w:val="009D57E5"/>
    <w:rsid w:val="009D6C80"/>
    <w:rsid w:val="009E1FE0"/>
    <w:rsid w:val="009E2846"/>
    <w:rsid w:val="009E2EF5"/>
    <w:rsid w:val="009E435E"/>
    <w:rsid w:val="009E452D"/>
    <w:rsid w:val="009E4BA9"/>
    <w:rsid w:val="009E580A"/>
    <w:rsid w:val="009E5C2E"/>
    <w:rsid w:val="009E7E98"/>
    <w:rsid w:val="009F0661"/>
    <w:rsid w:val="009F1372"/>
    <w:rsid w:val="009F13B7"/>
    <w:rsid w:val="009F173D"/>
    <w:rsid w:val="009F2402"/>
    <w:rsid w:val="009F3C8D"/>
    <w:rsid w:val="009F55FD"/>
    <w:rsid w:val="009F5B59"/>
    <w:rsid w:val="009F7F80"/>
    <w:rsid w:val="00A027FF"/>
    <w:rsid w:val="00A038C2"/>
    <w:rsid w:val="00A04A82"/>
    <w:rsid w:val="00A052AF"/>
    <w:rsid w:val="00A05C7B"/>
    <w:rsid w:val="00A05FB5"/>
    <w:rsid w:val="00A06593"/>
    <w:rsid w:val="00A06B99"/>
    <w:rsid w:val="00A0780F"/>
    <w:rsid w:val="00A07FBE"/>
    <w:rsid w:val="00A10CEA"/>
    <w:rsid w:val="00A11572"/>
    <w:rsid w:val="00A117A8"/>
    <w:rsid w:val="00A11A8D"/>
    <w:rsid w:val="00A11B6B"/>
    <w:rsid w:val="00A13437"/>
    <w:rsid w:val="00A15D01"/>
    <w:rsid w:val="00A17D84"/>
    <w:rsid w:val="00A20DF7"/>
    <w:rsid w:val="00A22C01"/>
    <w:rsid w:val="00A23141"/>
    <w:rsid w:val="00A243A4"/>
    <w:rsid w:val="00A246D4"/>
    <w:rsid w:val="00A24890"/>
    <w:rsid w:val="00A24FAC"/>
    <w:rsid w:val="00A2564E"/>
    <w:rsid w:val="00A2668A"/>
    <w:rsid w:val="00A2683C"/>
    <w:rsid w:val="00A27C2E"/>
    <w:rsid w:val="00A31526"/>
    <w:rsid w:val="00A36991"/>
    <w:rsid w:val="00A40F41"/>
    <w:rsid w:val="00A4114C"/>
    <w:rsid w:val="00A4319D"/>
    <w:rsid w:val="00A43BFF"/>
    <w:rsid w:val="00A464E4"/>
    <w:rsid w:val="00A476AE"/>
    <w:rsid w:val="00A5089E"/>
    <w:rsid w:val="00A50B08"/>
    <w:rsid w:val="00A5140C"/>
    <w:rsid w:val="00A51FDB"/>
    <w:rsid w:val="00A52521"/>
    <w:rsid w:val="00A5319F"/>
    <w:rsid w:val="00A53D3B"/>
    <w:rsid w:val="00A55454"/>
    <w:rsid w:val="00A600E8"/>
    <w:rsid w:val="00A61220"/>
    <w:rsid w:val="00A61E31"/>
    <w:rsid w:val="00A62896"/>
    <w:rsid w:val="00A63852"/>
    <w:rsid w:val="00A63937"/>
    <w:rsid w:val="00A63A47"/>
    <w:rsid w:val="00A63DC2"/>
    <w:rsid w:val="00A64826"/>
    <w:rsid w:val="00A64E41"/>
    <w:rsid w:val="00A655AE"/>
    <w:rsid w:val="00A6716E"/>
    <w:rsid w:val="00A673BC"/>
    <w:rsid w:val="00A704D3"/>
    <w:rsid w:val="00A70854"/>
    <w:rsid w:val="00A72452"/>
    <w:rsid w:val="00A738FE"/>
    <w:rsid w:val="00A74954"/>
    <w:rsid w:val="00A75592"/>
    <w:rsid w:val="00A75CA3"/>
    <w:rsid w:val="00A76047"/>
    <w:rsid w:val="00A762A5"/>
    <w:rsid w:val="00A764E5"/>
    <w:rsid w:val="00A76646"/>
    <w:rsid w:val="00A7769B"/>
    <w:rsid w:val="00A776AD"/>
    <w:rsid w:val="00A8007F"/>
    <w:rsid w:val="00A81621"/>
    <w:rsid w:val="00A81EF8"/>
    <w:rsid w:val="00A8252E"/>
    <w:rsid w:val="00A8311D"/>
    <w:rsid w:val="00A83CA7"/>
    <w:rsid w:val="00A84644"/>
    <w:rsid w:val="00A85172"/>
    <w:rsid w:val="00A85940"/>
    <w:rsid w:val="00A86199"/>
    <w:rsid w:val="00A9163D"/>
    <w:rsid w:val="00A919E1"/>
    <w:rsid w:val="00A93CC6"/>
    <w:rsid w:val="00A959E1"/>
    <w:rsid w:val="00A97C49"/>
    <w:rsid w:val="00AA03FC"/>
    <w:rsid w:val="00AA11EB"/>
    <w:rsid w:val="00AA169C"/>
    <w:rsid w:val="00AA2C3A"/>
    <w:rsid w:val="00AA4085"/>
    <w:rsid w:val="00AA42D4"/>
    <w:rsid w:val="00AA4F7F"/>
    <w:rsid w:val="00AA58FD"/>
    <w:rsid w:val="00AA6D95"/>
    <w:rsid w:val="00AA78AB"/>
    <w:rsid w:val="00AB1365"/>
    <w:rsid w:val="00AB13F3"/>
    <w:rsid w:val="00AB2573"/>
    <w:rsid w:val="00AB34A5"/>
    <w:rsid w:val="00AB365E"/>
    <w:rsid w:val="00AB53B3"/>
    <w:rsid w:val="00AB6309"/>
    <w:rsid w:val="00AB6C55"/>
    <w:rsid w:val="00AB78E7"/>
    <w:rsid w:val="00AB78F1"/>
    <w:rsid w:val="00AB7EE1"/>
    <w:rsid w:val="00AB7EE6"/>
    <w:rsid w:val="00AC0074"/>
    <w:rsid w:val="00AC0EEE"/>
    <w:rsid w:val="00AC15FA"/>
    <w:rsid w:val="00AC2497"/>
    <w:rsid w:val="00AC39F8"/>
    <w:rsid w:val="00AC3B3B"/>
    <w:rsid w:val="00AC3D56"/>
    <w:rsid w:val="00AC6727"/>
    <w:rsid w:val="00AC7758"/>
    <w:rsid w:val="00AD1510"/>
    <w:rsid w:val="00AD5394"/>
    <w:rsid w:val="00AD55F0"/>
    <w:rsid w:val="00AE04F1"/>
    <w:rsid w:val="00AE242E"/>
    <w:rsid w:val="00AE2D2F"/>
    <w:rsid w:val="00AE3DC2"/>
    <w:rsid w:val="00AE4ED6"/>
    <w:rsid w:val="00AE541E"/>
    <w:rsid w:val="00AE56F2"/>
    <w:rsid w:val="00AE6611"/>
    <w:rsid w:val="00AE6A93"/>
    <w:rsid w:val="00AE7A99"/>
    <w:rsid w:val="00AF0CD4"/>
    <w:rsid w:val="00AF483E"/>
    <w:rsid w:val="00AF5283"/>
    <w:rsid w:val="00AF7D6D"/>
    <w:rsid w:val="00B00288"/>
    <w:rsid w:val="00B007EF"/>
    <w:rsid w:val="00B01479"/>
    <w:rsid w:val="00B01C0E"/>
    <w:rsid w:val="00B02798"/>
    <w:rsid w:val="00B02B41"/>
    <w:rsid w:val="00B0371D"/>
    <w:rsid w:val="00B03A4D"/>
    <w:rsid w:val="00B04F31"/>
    <w:rsid w:val="00B078E6"/>
    <w:rsid w:val="00B07DA4"/>
    <w:rsid w:val="00B07DEA"/>
    <w:rsid w:val="00B07E22"/>
    <w:rsid w:val="00B113F6"/>
    <w:rsid w:val="00B118DF"/>
    <w:rsid w:val="00B12806"/>
    <w:rsid w:val="00B12F20"/>
    <w:rsid w:val="00B12F98"/>
    <w:rsid w:val="00B13037"/>
    <w:rsid w:val="00B130A2"/>
    <w:rsid w:val="00B1527E"/>
    <w:rsid w:val="00B15B90"/>
    <w:rsid w:val="00B17B89"/>
    <w:rsid w:val="00B2147E"/>
    <w:rsid w:val="00B21A4D"/>
    <w:rsid w:val="00B21DA4"/>
    <w:rsid w:val="00B2359C"/>
    <w:rsid w:val="00B2418D"/>
    <w:rsid w:val="00B2460E"/>
    <w:rsid w:val="00B24A04"/>
    <w:rsid w:val="00B30112"/>
    <w:rsid w:val="00B310BA"/>
    <w:rsid w:val="00B31830"/>
    <w:rsid w:val="00B3290A"/>
    <w:rsid w:val="00B343AB"/>
    <w:rsid w:val="00B34E4A"/>
    <w:rsid w:val="00B3560B"/>
    <w:rsid w:val="00B35AA4"/>
    <w:rsid w:val="00B36347"/>
    <w:rsid w:val="00B37AB2"/>
    <w:rsid w:val="00B40C6D"/>
    <w:rsid w:val="00B40D84"/>
    <w:rsid w:val="00B411BC"/>
    <w:rsid w:val="00B41E45"/>
    <w:rsid w:val="00B42156"/>
    <w:rsid w:val="00B429F6"/>
    <w:rsid w:val="00B43442"/>
    <w:rsid w:val="00B4566C"/>
    <w:rsid w:val="00B46175"/>
    <w:rsid w:val="00B4773C"/>
    <w:rsid w:val="00B50039"/>
    <w:rsid w:val="00B511D9"/>
    <w:rsid w:val="00B5282A"/>
    <w:rsid w:val="00B52FD4"/>
    <w:rsid w:val="00B53052"/>
    <w:rsid w:val="00B538DE"/>
    <w:rsid w:val="00B538F4"/>
    <w:rsid w:val="00B53CFC"/>
    <w:rsid w:val="00B545FE"/>
    <w:rsid w:val="00B6012B"/>
    <w:rsid w:val="00B60142"/>
    <w:rsid w:val="00B606F4"/>
    <w:rsid w:val="00B61A70"/>
    <w:rsid w:val="00B620F6"/>
    <w:rsid w:val="00B637B8"/>
    <w:rsid w:val="00B643E5"/>
    <w:rsid w:val="00B64A92"/>
    <w:rsid w:val="00B6568F"/>
    <w:rsid w:val="00B666F6"/>
    <w:rsid w:val="00B6704F"/>
    <w:rsid w:val="00B670D3"/>
    <w:rsid w:val="00B71167"/>
    <w:rsid w:val="00B71BA0"/>
    <w:rsid w:val="00B724E8"/>
    <w:rsid w:val="00B7253B"/>
    <w:rsid w:val="00B762E5"/>
    <w:rsid w:val="00B76C96"/>
    <w:rsid w:val="00B7732C"/>
    <w:rsid w:val="00B7774A"/>
    <w:rsid w:val="00B77AEF"/>
    <w:rsid w:val="00B77BAB"/>
    <w:rsid w:val="00B8023C"/>
    <w:rsid w:val="00B811ED"/>
    <w:rsid w:val="00B82721"/>
    <w:rsid w:val="00B8351E"/>
    <w:rsid w:val="00B83B16"/>
    <w:rsid w:val="00B855F0"/>
    <w:rsid w:val="00B861FF"/>
    <w:rsid w:val="00B86983"/>
    <w:rsid w:val="00B91703"/>
    <w:rsid w:val="00B923AC"/>
    <w:rsid w:val="00B9300F"/>
    <w:rsid w:val="00B948A9"/>
    <w:rsid w:val="00B95B1D"/>
    <w:rsid w:val="00B9665F"/>
    <w:rsid w:val="00B96D76"/>
    <w:rsid w:val="00B975EA"/>
    <w:rsid w:val="00BA0398"/>
    <w:rsid w:val="00BA08B4"/>
    <w:rsid w:val="00BA1D18"/>
    <w:rsid w:val="00BA268E"/>
    <w:rsid w:val="00BA27C8"/>
    <w:rsid w:val="00BA5216"/>
    <w:rsid w:val="00BA5305"/>
    <w:rsid w:val="00BA6333"/>
    <w:rsid w:val="00BA7D29"/>
    <w:rsid w:val="00BA7F19"/>
    <w:rsid w:val="00BA7FB9"/>
    <w:rsid w:val="00BB0F03"/>
    <w:rsid w:val="00BB166E"/>
    <w:rsid w:val="00BB3115"/>
    <w:rsid w:val="00BB39B4"/>
    <w:rsid w:val="00BB4184"/>
    <w:rsid w:val="00BB489B"/>
    <w:rsid w:val="00BB4AC3"/>
    <w:rsid w:val="00BB5A48"/>
    <w:rsid w:val="00BB5DB9"/>
    <w:rsid w:val="00BB69E9"/>
    <w:rsid w:val="00BB6E61"/>
    <w:rsid w:val="00BB73F0"/>
    <w:rsid w:val="00BC014C"/>
    <w:rsid w:val="00BC14BD"/>
    <w:rsid w:val="00BC1EF9"/>
    <w:rsid w:val="00BC22D5"/>
    <w:rsid w:val="00BC2805"/>
    <w:rsid w:val="00BC2DCA"/>
    <w:rsid w:val="00BC373B"/>
    <w:rsid w:val="00BC3B10"/>
    <w:rsid w:val="00BC4898"/>
    <w:rsid w:val="00BC4A8C"/>
    <w:rsid w:val="00BC6ACF"/>
    <w:rsid w:val="00BC75AF"/>
    <w:rsid w:val="00BD0819"/>
    <w:rsid w:val="00BD1A2A"/>
    <w:rsid w:val="00BD26FC"/>
    <w:rsid w:val="00BD3506"/>
    <w:rsid w:val="00BD50B0"/>
    <w:rsid w:val="00BD5532"/>
    <w:rsid w:val="00BD5C2E"/>
    <w:rsid w:val="00BE0A67"/>
    <w:rsid w:val="00BE2087"/>
    <w:rsid w:val="00BE26D4"/>
    <w:rsid w:val="00BE2E92"/>
    <w:rsid w:val="00BE3666"/>
    <w:rsid w:val="00BE37CC"/>
    <w:rsid w:val="00BE39CA"/>
    <w:rsid w:val="00BE5ABE"/>
    <w:rsid w:val="00BE5B02"/>
    <w:rsid w:val="00BE5E36"/>
    <w:rsid w:val="00BE62C2"/>
    <w:rsid w:val="00BE7F9A"/>
    <w:rsid w:val="00BF24E7"/>
    <w:rsid w:val="00BF302E"/>
    <w:rsid w:val="00BF31E6"/>
    <w:rsid w:val="00BF3402"/>
    <w:rsid w:val="00BF5BC9"/>
    <w:rsid w:val="00BF5F8B"/>
    <w:rsid w:val="00BF62D8"/>
    <w:rsid w:val="00BF6323"/>
    <w:rsid w:val="00BF65CE"/>
    <w:rsid w:val="00BF7F05"/>
    <w:rsid w:val="00C01BCA"/>
    <w:rsid w:val="00C0253A"/>
    <w:rsid w:val="00C02FCB"/>
    <w:rsid w:val="00C03188"/>
    <w:rsid w:val="00C04789"/>
    <w:rsid w:val="00C05F4C"/>
    <w:rsid w:val="00C070F2"/>
    <w:rsid w:val="00C07230"/>
    <w:rsid w:val="00C109A6"/>
    <w:rsid w:val="00C12406"/>
    <w:rsid w:val="00C12B87"/>
    <w:rsid w:val="00C13661"/>
    <w:rsid w:val="00C14B20"/>
    <w:rsid w:val="00C14F6A"/>
    <w:rsid w:val="00C20F46"/>
    <w:rsid w:val="00C21F01"/>
    <w:rsid w:val="00C2382E"/>
    <w:rsid w:val="00C24381"/>
    <w:rsid w:val="00C27723"/>
    <w:rsid w:val="00C30267"/>
    <w:rsid w:val="00C302AC"/>
    <w:rsid w:val="00C32BA7"/>
    <w:rsid w:val="00C33D9A"/>
    <w:rsid w:val="00C34982"/>
    <w:rsid w:val="00C35828"/>
    <w:rsid w:val="00C36A36"/>
    <w:rsid w:val="00C408F8"/>
    <w:rsid w:val="00C41E35"/>
    <w:rsid w:val="00C429F3"/>
    <w:rsid w:val="00C44145"/>
    <w:rsid w:val="00C444F5"/>
    <w:rsid w:val="00C46309"/>
    <w:rsid w:val="00C47253"/>
    <w:rsid w:val="00C544EE"/>
    <w:rsid w:val="00C54EE1"/>
    <w:rsid w:val="00C553CE"/>
    <w:rsid w:val="00C57C82"/>
    <w:rsid w:val="00C61750"/>
    <w:rsid w:val="00C61DA2"/>
    <w:rsid w:val="00C63526"/>
    <w:rsid w:val="00C64F02"/>
    <w:rsid w:val="00C66894"/>
    <w:rsid w:val="00C67A6D"/>
    <w:rsid w:val="00C71385"/>
    <w:rsid w:val="00C71B6A"/>
    <w:rsid w:val="00C739BD"/>
    <w:rsid w:val="00C771B0"/>
    <w:rsid w:val="00C7765D"/>
    <w:rsid w:val="00C77875"/>
    <w:rsid w:val="00C77CDA"/>
    <w:rsid w:val="00C805EF"/>
    <w:rsid w:val="00C810B5"/>
    <w:rsid w:val="00C81169"/>
    <w:rsid w:val="00C8149E"/>
    <w:rsid w:val="00C8212A"/>
    <w:rsid w:val="00C829AC"/>
    <w:rsid w:val="00C82A58"/>
    <w:rsid w:val="00C85142"/>
    <w:rsid w:val="00C85A4F"/>
    <w:rsid w:val="00C870E5"/>
    <w:rsid w:val="00C87AB0"/>
    <w:rsid w:val="00C91368"/>
    <w:rsid w:val="00C91D31"/>
    <w:rsid w:val="00C96409"/>
    <w:rsid w:val="00C97CE3"/>
    <w:rsid w:val="00CA27A3"/>
    <w:rsid w:val="00CA2C1A"/>
    <w:rsid w:val="00CA42C1"/>
    <w:rsid w:val="00CA72F3"/>
    <w:rsid w:val="00CB1280"/>
    <w:rsid w:val="00CB16CC"/>
    <w:rsid w:val="00CB1742"/>
    <w:rsid w:val="00CB2461"/>
    <w:rsid w:val="00CB2912"/>
    <w:rsid w:val="00CB3716"/>
    <w:rsid w:val="00CB383A"/>
    <w:rsid w:val="00CB4BCC"/>
    <w:rsid w:val="00CB4EEA"/>
    <w:rsid w:val="00CB6A2E"/>
    <w:rsid w:val="00CC00D7"/>
    <w:rsid w:val="00CC19E0"/>
    <w:rsid w:val="00CC2DE5"/>
    <w:rsid w:val="00CC40AF"/>
    <w:rsid w:val="00CC540C"/>
    <w:rsid w:val="00CC5D20"/>
    <w:rsid w:val="00CC6741"/>
    <w:rsid w:val="00CC71E1"/>
    <w:rsid w:val="00CC7A3F"/>
    <w:rsid w:val="00CD000A"/>
    <w:rsid w:val="00CD032B"/>
    <w:rsid w:val="00CD04E3"/>
    <w:rsid w:val="00CD081E"/>
    <w:rsid w:val="00CD0FE1"/>
    <w:rsid w:val="00CD116C"/>
    <w:rsid w:val="00CD1DD8"/>
    <w:rsid w:val="00CD1FA2"/>
    <w:rsid w:val="00CD2463"/>
    <w:rsid w:val="00CD33FB"/>
    <w:rsid w:val="00CD4299"/>
    <w:rsid w:val="00CD492A"/>
    <w:rsid w:val="00CE20EA"/>
    <w:rsid w:val="00CE307C"/>
    <w:rsid w:val="00CE34E8"/>
    <w:rsid w:val="00CE3DFA"/>
    <w:rsid w:val="00CE4265"/>
    <w:rsid w:val="00CE6831"/>
    <w:rsid w:val="00CE6EA1"/>
    <w:rsid w:val="00CE6FA1"/>
    <w:rsid w:val="00CE6FED"/>
    <w:rsid w:val="00CE71BA"/>
    <w:rsid w:val="00CF02F6"/>
    <w:rsid w:val="00CF0E42"/>
    <w:rsid w:val="00CF1253"/>
    <w:rsid w:val="00CF1542"/>
    <w:rsid w:val="00CF1953"/>
    <w:rsid w:val="00CF2697"/>
    <w:rsid w:val="00CF308E"/>
    <w:rsid w:val="00CF4D23"/>
    <w:rsid w:val="00CF77AE"/>
    <w:rsid w:val="00D02191"/>
    <w:rsid w:val="00D0246D"/>
    <w:rsid w:val="00D02E41"/>
    <w:rsid w:val="00D030E4"/>
    <w:rsid w:val="00D03418"/>
    <w:rsid w:val="00D053DF"/>
    <w:rsid w:val="00D06C2B"/>
    <w:rsid w:val="00D1089A"/>
    <w:rsid w:val="00D109EF"/>
    <w:rsid w:val="00D12E59"/>
    <w:rsid w:val="00D1314F"/>
    <w:rsid w:val="00D14ED4"/>
    <w:rsid w:val="00D1514D"/>
    <w:rsid w:val="00D16B8B"/>
    <w:rsid w:val="00D16EDC"/>
    <w:rsid w:val="00D174D8"/>
    <w:rsid w:val="00D1776D"/>
    <w:rsid w:val="00D1783E"/>
    <w:rsid w:val="00D206CC"/>
    <w:rsid w:val="00D22821"/>
    <w:rsid w:val="00D22AF7"/>
    <w:rsid w:val="00D22D2D"/>
    <w:rsid w:val="00D26430"/>
    <w:rsid w:val="00D32398"/>
    <w:rsid w:val="00D331B5"/>
    <w:rsid w:val="00D34B85"/>
    <w:rsid w:val="00D34E4F"/>
    <w:rsid w:val="00D36B21"/>
    <w:rsid w:val="00D375D7"/>
    <w:rsid w:val="00D37D7E"/>
    <w:rsid w:val="00D40830"/>
    <w:rsid w:val="00D41B0A"/>
    <w:rsid w:val="00D42110"/>
    <w:rsid w:val="00D426FE"/>
    <w:rsid w:val="00D4288C"/>
    <w:rsid w:val="00D43CA9"/>
    <w:rsid w:val="00D43F88"/>
    <w:rsid w:val="00D44B05"/>
    <w:rsid w:val="00D46296"/>
    <w:rsid w:val="00D510F3"/>
    <w:rsid w:val="00D51BDC"/>
    <w:rsid w:val="00D5257A"/>
    <w:rsid w:val="00D52EF0"/>
    <w:rsid w:val="00D56318"/>
    <w:rsid w:val="00D57D8E"/>
    <w:rsid w:val="00D60A85"/>
    <w:rsid w:val="00D63802"/>
    <w:rsid w:val="00D63A38"/>
    <w:rsid w:val="00D65917"/>
    <w:rsid w:val="00D66A2A"/>
    <w:rsid w:val="00D67262"/>
    <w:rsid w:val="00D70B24"/>
    <w:rsid w:val="00D70C71"/>
    <w:rsid w:val="00D72E30"/>
    <w:rsid w:val="00D74131"/>
    <w:rsid w:val="00D7538F"/>
    <w:rsid w:val="00D80828"/>
    <w:rsid w:val="00D8098E"/>
    <w:rsid w:val="00D8155E"/>
    <w:rsid w:val="00D8350F"/>
    <w:rsid w:val="00D8504F"/>
    <w:rsid w:val="00D85CA5"/>
    <w:rsid w:val="00D861F8"/>
    <w:rsid w:val="00D867A8"/>
    <w:rsid w:val="00D87479"/>
    <w:rsid w:val="00D91037"/>
    <w:rsid w:val="00D928DD"/>
    <w:rsid w:val="00D93CCE"/>
    <w:rsid w:val="00D941AF"/>
    <w:rsid w:val="00D94C3D"/>
    <w:rsid w:val="00D968E3"/>
    <w:rsid w:val="00DA133E"/>
    <w:rsid w:val="00DA1D8D"/>
    <w:rsid w:val="00DA2D77"/>
    <w:rsid w:val="00DA2EB6"/>
    <w:rsid w:val="00DA4966"/>
    <w:rsid w:val="00DA4EB0"/>
    <w:rsid w:val="00DA5FED"/>
    <w:rsid w:val="00DA6058"/>
    <w:rsid w:val="00DA78FE"/>
    <w:rsid w:val="00DA7A93"/>
    <w:rsid w:val="00DB10BF"/>
    <w:rsid w:val="00DB2577"/>
    <w:rsid w:val="00DB2ED4"/>
    <w:rsid w:val="00DB33FE"/>
    <w:rsid w:val="00DB379C"/>
    <w:rsid w:val="00DB3ED7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2B12"/>
    <w:rsid w:val="00DC5262"/>
    <w:rsid w:val="00DC6DAD"/>
    <w:rsid w:val="00DD010A"/>
    <w:rsid w:val="00DD1349"/>
    <w:rsid w:val="00DD17E9"/>
    <w:rsid w:val="00DD2C8B"/>
    <w:rsid w:val="00DD356F"/>
    <w:rsid w:val="00DD39F3"/>
    <w:rsid w:val="00DD453F"/>
    <w:rsid w:val="00DD46AE"/>
    <w:rsid w:val="00DD5243"/>
    <w:rsid w:val="00DD6254"/>
    <w:rsid w:val="00DE0BBA"/>
    <w:rsid w:val="00DE1ADA"/>
    <w:rsid w:val="00DE316E"/>
    <w:rsid w:val="00DE3A37"/>
    <w:rsid w:val="00DE5F53"/>
    <w:rsid w:val="00DE60F1"/>
    <w:rsid w:val="00DF18ED"/>
    <w:rsid w:val="00DF1CAD"/>
    <w:rsid w:val="00DF268E"/>
    <w:rsid w:val="00DF31D5"/>
    <w:rsid w:val="00DF3C40"/>
    <w:rsid w:val="00DF4FC9"/>
    <w:rsid w:val="00DF6632"/>
    <w:rsid w:val="00DF796D"/>
    <w:rsid w:val="00DF7F9A"/>
    <w:rsid w:val="00E00A31"/>
    <w:rsid w:val="00E017B1"/>
    <w:rsid w:val="00E04C49"/>
    <w:rsid w:val="00E06664"/>
    <w:rsid w:val="00E06DE5"/>
    <w:rsid w:val="00E079B9"/>
    <w:rsid w:val="00E10F9E"/>
    <w:rsid w:val="00E13714"/>
    <w:rsid w:val="00E13B68"/>
    <w:rsid w:val="00E13BFD"/>
    <w:rsid w:val="00E14745"/>
    <w:rsid w:val="00E15D91"/>
    <w:rsid w:val="00E15EDD"/>
    <w:rsid w:val="00E20D17"/>
    <w:rsid w:val="00E2131B"/>
    <w:rsid w:val="00E225D9"/>
    <w:rsid w:val="00E2278F"/>
    <w:rsid w:val="00E238EA"/>
    <w:rsid w:val="00E2427A"/>
    <w:rsid w:val="00E26A2E"/>
    <w:rsid w:val="00E30686"/>
    <w:rsid w:val="00E3161F"/>
    <w:rsid w:val="00E326BA"/>
    <w:rsid w:val="00E33724"/>
    <w:rsid w:val="00E33BEE"/>
    <w:rsid w:val="00E341E0"/>
    <w:rsid w:val="00E34589"/>
    <w:rsid w:val="00E345BA"/>
    <w:rsid w:val="00E34B0A"/>
    <w:rsid w:val="00E35016"/>
    <w:rsid w:val="00E36C87"/>
    <w:rsid w:val="00E37FD5"/>
    <w:rsid w:val="00E40293"/>
    <w:rsid w:val="00E40405"/>
    <w:rsid w:val="00E404CB"/>
    <w:rsid w:val="00E41DE9"/>
    <w:rsid w:val="00E42037"/>
    <w:rsid w:val="00E44AF0"/>
    <w:rsid w:val="00E45C96"/>
    <w:rsid w:val="00E46B44"/>
    <w:rsid w:val="00E51046"/>
    <w:rsid w:val="00E51777"/>
    <w:rsid w:val="00E52E6A"/>
    <w:rsid w:val="00E54E35"/>
    <w:rsid w:val="00E5643C"/>
    <w:rsid w:val="00E57927"/>
    <w:rsid w:val="00E60395"/>
    <w:rsid w:val="00E61E25"/>
    <w:rsid w:val="00E63C36"/>
    <w:rsid w:val="00E6433C"/>
    <w:rsid w:val="00E649A0"/>
    <w:rsid w:val="00E65503"/>
    <w:rsid w:val="00E66CD2"/>
    <w:rsid w:val="00E67973"/>
    <w:rsid w:val="00E7277E"/>
    <w:rsid w:val="00E73B26"/>
    <w:rsid w:val="00E73CA7"/>
    <w:rsid w:val="00E744B3"/>
    <w:rsid w:val="00E74724"/>
    <w:rsid w:val="00E76C83"/>
    <w:rsid w:val="00E804D7"/>
    <w:rsid w:val="00E808D2"/>
    <w:rsid w:val="00E8135F"/>
    <w:rsid w:val="00E82986"/>
    <w:rsid w:val="00E83DB1"/>
    <w:rsid w:val="00E84E6A"/>
    <w:rsid w:val="00E85616"/>
    <w:rsid w:val="00E85C22"/>
    <w:rsid w:val="00E85DF5"/>
    <w:rsid w:val="00E868AB"/>
    <w:rsid w:val="00E875B2"/>
    <w:rsid w:val="00E92F84"/>
    <w:rsid w:val="00E93562"/>
    <w:rsid w:val="00E9774F"/>
    <w:rsid w:val="00EA4E9F"/>
    <w:rsid w:val="00EA737E"/>
    <w:rsid w:val="00EA7535"/>
    <w:rsid w:val="00EA76D0"/>
    <w:rsid w:val="00EB0052"/>
    <w:rsid w:val="00EB0EB4"/>
    <w:rsid w:val="00EB1433"/>
    <w:rsid w:val="00EB3272"/>
    <w:rsid w:val="00EB33B2"/>
    <w:rsid w:val="00EB3AAE"/>
    <w:rsid w:val="00EB5A80"/>
    <w:rsid w:val="00EB5D61"/>
    <w:rsid w:val="00EB60D9"/>
    <w:rsid w:val="00EB627F"/>
    <w:rsid w:val="00EC0738"/>
    <w:rsid w:val="00EC078A"/>
    <w:rsid w:val="00EC1632"/>
    <w:rsid w:val="00EC3630"/>
    <w:rsid w:val="00EC3A35"/>
    <w:rsid w:val="00EC4C15"/>
    <w:rsid w:val="00EC5E52"/>
    <w:rsid w:val="00ED1883"/>
    <w:rsid w:val="00ED1900"/>
    <w:rsid w:val="00ED2465"/>
    <w:rsid w:val="00ED2D1C"/>
    <w:rsid w:val="00ED2ED4"/>
    <w:rsid w:val="00ED35AC"/>
    <w:rsid w:val="00ED591E"/>
    <w:rsid w:val="00ED662E"/>
    <w:rsid w:val="00ED6777"/>
    <w:rsid w:val="00ED6B8F"/>
    <w:rsid w:val="00ED758F"/>
    <w:rsid w:val="00EE1106"/>
    <w:rsid w:val="00EE40A9"/>
    <w:rsid w:val="00EE4FC4"/>
    <w:rsid w:val="00EE6501"/>
    <w:rsid w:val="00EE6A69"/>
    <w:rsid w:val="00EE6EA8"/>
    <w:rsid w:val="00EE7763"/>
    <w:rsid w:val="00EE7B49"/>
    <w:rsid w:val="00EF295A"/>
    <w:rsid w:val="00EF2E3A"/>
    <w:rsid w:val="00EF42EB"/>
    <w:rsid w:val="00EF4B42"/>
    <w:rsid w:val="00EF4F52"/>
    <w:rsid w:val="00EF5C18"/>
    <w:rsid w:val="00F007F3"/>
    <w:rsid w:val="00F016D8"/>
    <w:rsid w:val="00F01893"/>
    <w:rsid w:val="00F034F8"/>
    <w:rsid w:val="00F04CD5"/>
    <w:rsid w:val="00F0540D"/>
    <w:rsid w:val="00F10450"/>
    <w:rsid w:val="00F10D93"/>
    <w:rsid w:val="00F121C7"/>
    <w:rsid w:val="00F1283F"/>
    <w:rsid w:val="00F149EE"/>
    <w:rsid w:val="00F1614C"/>
    <w:rsid w:val="00F1615C"/>
    <w:rsid w:val="00F16335"/>
    <w:rsid w:val="00F17809"/>
    <w:rsid w:val="00F20D7B"/>
    <w:rsid w:val="00F20DB3"/>
    <w:rsid w:val="00F21962"/>
    <w:rsid w:val="00F23479"/>
    <w:rsid w:val="00F25EDF"/>
    <w:rsid w:val="00F2647F"/>
    <w:rsid w:val="00F27521"/>
    <w:rsid w:val="00F279ED"/>
    <w:rsid w:val="00F27CC2"/>
    <w:rsid w:val="00F30499"/>
    <w:rsid w:val="00F3083D"/>
    <w:rsid w:val="00F3182F"/>
    <w:rsid w:val="00F33785"/>
    <w:rsid w:val="00F344CC"/>
    <w:rsid w:val="00F347CD"/>
    <w:rsid w:val="00F353C4"/>
    <w:rsid w:val="00F35401"/>
    <w:rsid w:val="00F35661"/>
    <w:rsid w:val="00F37466"/>
    <w:rsid w:val="00F403D7"/>
    <w:rsid w:val="00F437A1"/>
    <w:rsid w:val="00F4575C"/>
    <w:rsid w:val="00F459A0"/>
    <w:rsid w:val="00F45A20"/>
    <w:rsid w:val="00F45AC2"/>
    <w:rsid w:val="00F46181"/>
    <w:rsid w:val="00F4663D"/>
    <w:rsid w:val="00F474AB"/>
    <w:rsid w:val="00F475D3"/>
    <w:rsid w:val="00F47E03"/>
    <w:rsid w:val="00F5321D"/>
    <w:rsid w:val="00F53EB3"/>
    <w:rsid w:val="00F53EC1"/>
    <w:rsid w:val="00F54850"/>
    <w:rsid w:val="00F553D8"/>
    <w:rsid w:val="00F55B3C"/>
    <w:rsid w:val="00F5737E"/>
    <w:rsid w:val="00F57421"/>
    <w:rsid w:val="00F60EAF"/>
    <w:rsid w:val="00F612A0"/>
    <w:rsid w:val="00F62247"/>
    <w:rsid w:val="00F65665"/>
    <w:rsid w:val="00F6569C"/>
    <w:rsid w:val="00F6705C"/>
    <w:rsid w:val="00F67166"/>
    <w:rsid w:val="00F726EE"/>
    <w:rsid w:val="00F75392"/>
    <w:rsid w:val="00F75671"/>
    <w:rsid w:val="00F7658A"/>
    <w:rsid w:val="00F765E2"/>
    <w:rsid w:val="00F7771C"/>
    <w:rsid w:val="00F7783F"/>
    <w:rsid w:val="00F77BAC"/>
    <w:rsid w:val="00F80A32"/>
    <w:rsid w:val="00F8205B"/>
    <w:rsid w:val="00F84268"/>
    <w:rsid w:val="00F85A1D"/>
    <w:rsid w:val="00F8631C"/>
    <w:rsid w:val="00F86758"/>
    <w:rsid w:val="00F8732B"/>
    <w:rsid w:val="00F91C7C"/>
    <w:rsid w:val="00F91FD9"/>
    <w:rsid w:val="00F91FDC"/>
    <w:rsid w:val="00F93538"/>
    <w:rsid w:val="00F945BD"/>
    <w:rsid w:val="00F95487"/>
    <w:rsid w:val="00F96676"/>
    <w:rsid w:val="00F97BCF"/>
    <w:rsid w:val="00F97E45"/>
    <w:rsid w:val="00FA0FDE"/>
    <w:rsid w:val="00FA229A"/>
    <w:rsid w:val="00FA338B"/>
    <w:rsid w:val="00FA3459"/>
    <w:rsid w:val="00FA57B6"/>
    <w:rsid w:val="00FA5B77"/>
    <w:rsid w:val="00FA6994"/>
    <w:rsid w:val="00FA6F31"/>
    <w:rsid w:val="00FB1248"/>
    <w:rsid w:val="00FB1857"/>
    <w:rsid w:val="00FB293B"/>
    <w:rsid w:val="00FB3D26"/>
    <w:rsid w:val="00FB49E9"/>
    <w:rsid w:val="00FB4ECA"/>
    <w:rsid w:val="00FB4FC8"/>
    <w:rsid w:val="00FB6437"/>
    <w:rsid w:val="00FB7419"/>
    <w:rsid w:val="00FB74D7"/>
    <w:rsid w:val="00FC28D6"/>
    <w:rsid w:val="00FC2939"/>
    <w:rsid w:val="00FC2C83"/>
    <w:rsid w:val="00FC2D85"/>
    <w:rsid w:val="00FC2E84"/>
    <w:rsid w:val="00FC3EB7"/>
    <w:rsid w:val="00FC71AF"/>
    <w:rsid w:val="00FD1DDD"/>
    <w:rsid w:val="00FD5148"/>
    <w:rsid w:val="00FD6316"/>
    <w:rsid w:val="00FD73A4"/>
    <w:rsid w:val="00FD7649"/>
    <w:rsid w:val="00FD7989"/>
    <w:rsid w:val="00FD79BB"/>
    <w:rsid w:val="00FD7CD5"/>
    <w:rsid w:val="00FD7D23"/>
    <w:rsid w:val="00FE00FC"/>
    <w:rsid w:val="00FE0BB8"/>
    <w:rsid w:val="00FE0C16"/>
    <w:rsid w:val="00FE0F01"/>
    <w:rsid w:val="00FE1CED"/>
    <w:rsid w:val="00FE260E"/>
    <w:rsid w:val="00FE2D06"/>
    <w:rsid w:val="00FE39B9"/>
    <w:rsid w:val="00FE3DD1"/>
    <w:rsid w:val="00FE3E27"/>
    <w:rsid w:val="00FE5988"/>
    <w:rsid w:val="00FE5AC2"/>
    <w:rsid w:val="00FE64D2"/>
    <w:rsid w:val="00FE704F"/>
    <w:rsid w:val="00FF0147"/>
    <w:rsid w:val="00FF0288"/>
    <w:rsid w:val="00FF1213"/>
    <w:rsid w:val="00FF2A9C"/>
    <w:rsid w:val="00FF431F"/>
    <w:rsid w:val="00FF47CE"/>
    <w:rsid w:val="00FF50AB"/>
    <w:rsid w:val="00FF618E"/>
    <w:rsid w:val="00FF6289"/>
    <w:rsid w:val="00FF7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,"/>
  <w14:docId w14:val="7248F674"/>
  <w15:docId w15:val="{3AE2E9D2-70BD-4445-B1F5-FBF7924B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518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1E4518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1E4518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1E4518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E4518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BA5305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BA5305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BA5305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BA5305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BA5305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1E451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1E4518"/>
  </w:style>
  <w:style w:type="paragraph" w:customStyle="1" w:styleId="00ClientCover">
    <w:name w:val="00ClientCover"/>
    <w:basedOn w:val="Normal"/>
    <w:rsid w:val="001E4518"/>
  </w:style>
  <w:style w:type="paragraph" w:customStyle="1" w:styleId="02Text">
    <w:name w:val="02Text"/>
    <w:basedOn w:val="Normal"/>
    <w:rsid w:val="001E4518"/>
  </w:style>
  <w:style w:type="paragraph" w:customStyle="1" w:styleId="BillBasic">
    <w:name w:val="BillBasic"/>
    <w:link w:val="BillBasicChar"/>
    <w:rsid w:val="001E4518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1E451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1E4518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1E4518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1E4518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1E4518"/>
    <w:pPr>
      <w:spacing w:before="240"/>
    </w:pPr>
  </w:style>
  <w:style w:type="paragraph" w:customStyle="1" w:styleId="EnactingWords">
    <w:name w:val="EnactingWords"/>
    <w:basedOn w:val="BillBasic"/>
    <w:rsid w:val="001E4518"/>
    <w:pPr>
      <w:spacing w:before="120"/>
    </w:pPr>
  </w:style>
  <w:style w:type="paragraph" w:customStyle="1" w:styleId="Amain">
    <w:name w:val="A main"/>
    <w:basedOn w:val="BillBasic"/>
    <w:rsid w:val="001E4518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1E4518"/>
    <w:pPr>
      <w:ind w:left="1100"/>
    </w:pPr>
  </w:style>
  <w:style w:type="paragraph" w:customStyle="1" w:styleId="Apara">
    <w:name w:val="A para"/>
    <w:basedOn w:val="BillBasic"/>
    <w:rsid w:val="001E4518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1E4518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1E4518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1E4518"/>
    <w:pPr>
      <w:ind w:left="1100"/>
    </w:pPr>
  </w:style>
  <w:style w:type="paragraph" w:customStyle="1" w:styleId="aExamHead">
    <w:name w:val="aExam Head"/>
    <w:basedOn w:val="BillBasicHeading"/>
    <w:next w:val="aExam"/>
    <w:rsid w:val="001E4518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1E4518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1E4518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1E4518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1E4518"/>
    <w:pPr>
      <w:spacing w:before="120" w:after="60"/>
    </w:pPr>
  </w:style>
  <w:style w:type="paragraph" w:customStyle="1" w:styleId="HeaderOdd6">
    <w:name w:val="HeaderOdd6"/>
    <w:basedOn w:val="HeaderEven6"/>
    <w:rsid w:val="001E4518"/>
    <w:pPr>
      <w:jc w:val="right"/>
    </w:pPr>
  </w:style>
  <w:style w:type="paragraph" w:customStyle="1" w:styleId="HeaderOdd">
    <w:name w:val="HeaderOdd"/>
    <w:basedOn w:val="HeaderEven"/>
    <w:rsid w:val="001E4518"/>
    <w:pPr>
      <w:jc w:val="right"/>
    </w:pPr>
  </w:style>
  <w:style w:type="paragraph" w:customStyle="1" w:styleId="N-TOCheading">
    <w:name w:val="N-TOCheading"/>
    <w:basedOn w:val="BillBasicHeading"/>
    <w:next w:val="N-9pt"/>
    <w:rsid w:val="001E4518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1E4518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1E4518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1E4518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1E4518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1E4518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1E4518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1E4518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1E4518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1E4518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1E4518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1E4518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1E4518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1E4518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1E4518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1E4518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1E4518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1E4518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1E4518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1E4518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1E4518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1E4518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1E4518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BA5305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1E4518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1E4518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1E4518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1E4518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1E4518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1E4518"/>
    <w:rPr>
      <w:rFonts w:ascii="Arial" w:hAnsi="Arial"/>
      <w:sz w:val="16"/>
    </w:rPr>
  </w:style>
  <w:style w:type="paragraph" w:customStyle="1" w:styleId="PageBreak">
    <w:name w:val="PageBreak"/>
    <w:basedOn w:val="Normal"/>
    <w:rsid w:val="001E4518"/>
    <w:rPr>
      <w:sz w:val="4"/>
    </w:rPr>
  </w:style>
  <w:style w:type="paragraph" w:customStyle="1" w:styleId="04Dictionary">
    <w:name w:val="04Dictionary"/>
    <w:basedOn w:val="Normal"/>
    <w:rsid w:val="001E4518"/>
  </w:style>
  <w:style w:type="paragraph" w:customStyle="1" w:styleId="N-line1">
    <w:name w:val="N-line1"/>
    <w:basedOn w:val="BillBasic"/>
    <w:rsid w:val="001E4518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1E4518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1E4518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1E4518"/>
    <w:pPr>
      <w:tabs>
        <w:tab w:val="left" w:pos="700"/>
      </w:tabs>
      <w:spacing w:before="160"/>
      <w:ind w:left="700" w:hanging="700"/>
    </w:pPr>
    <w:rPr>
      <w:rFonts w:ascii="Arial (W1)" w:hAnsi="Arial (W1)"/>
    </w:rPr>
  </w:style>
  <w:style w:type="paragraph" w:customStyle="1" w:styleId="PenaltyHeading">
    <w:name w:val="PenaltyHeading"/>
    <w:basedOn w:val="Normal"/>
    <w:rsid w:val="001E4518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1E4518"/>
  </w:style>
  <w:style w:type="paragraph" w:customStyle="1" w:styleId="03Schedule">
    <w:name w:val="03Schedule"/>
    <w:basedOn w:val="Normal"/>
    <w:rsid w:val="001E4518"/>
  </w:style>
  <w:style w:type="paragraph" w:customStyle="1" w:styleId="ISched-heading">
    <w:name w:val="I Sched-heading"/>
    <w:basedOn w:val="BillBasicHeading"/>
    <w:next w:val="Normal"/>
    <w:rsid w:val="001E4518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1E4518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1E4518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1E4518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1E4518"/>
  </w:style>
  <w:style w:type="paragraph" w:customStyle="1" w:styleId="Ipara">
    <w:name w:val="I para"/>
    <w:basedOn w:val="Apara"/>
    <w:rsid w:val="001E4518"/>
    <w:pPr>
      <w:outlineLvl w:val="9"/>
    </w:pPr>
  </w:style>
  <w:style w:type="paragraph" w:customStyle="1" w:styleId="Isubpara">
    <w:name w:val="I subpara"/>
    <w:basedOn w:val="Asubpara"/>
    <w:rsid w:val="001E4518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1E4518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1E4518"/>
  </w:style>
  <w:style w:type="character" w:customStyle="1" w:styleId="CharDivNo">
    <w:name w:val="CharDivNo"/>
    <w:basedOn w:val="DefaultParagraphFont"/>
    <w:rsid w:val="001E4518"/>
  </w:style>
  <w:style w:type="character" w:customStyle="1" w:styleId="CharDivText">
    <w:name w:val="CharDivText"/>
    <w:basedOn w:val="DefaultParagraphFont"/>
    <w:rsid w:val="001E4518"/>
  </w:style>
  <w:style w:type="character" w:customStyle="1" w:styleId="CharPartNo">
    <w:name w:val="CharPartNo"/>
    <w:basedOn w:val="DefaultParagraphFont"/>
    <w:rsid w:val="001E4518"/>
  </w:style>
  <w:style w:type="paragraph" w:customStyle="1" w:styleId="Placeholder">
    <w:name w:val="Placeholder"/>
    <w:basedOn w:val="Normal"/>
    <w:rsid w:val="001E4518"/>
    <w:rPr>
      <w:sz w:val="10"/>
    </w:rPr>
  </w:style>
  <w:style w:type="paragraph" w:styleId="PlainText">
    <w:name w:val="Plain Text"/>
    <w:basedOn w:val="Normal"/>
    <w:rsid w:val="001E4518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1E4518"/>
  </w:style>
  <w:style w:type="character" w:customStyle="1" w:styleId="CharChapText">
    <w:name w:val="CharChapText"/>
    <w:basedOn w:val="DefaultParagraphFont"/>
    <w:rsid w:val="001E4518"/>
  </w:style>
  <w:style w:type="character" w:customStyle="1" w:styleId="CharPartText">
    <w:name w:val="CharPartText"/>
    <w:basedOn w:val="DefaultParagraphFont"/>
    <w:rsid w:val="001E4518"/>
  </w:style>
  <w:style w:type="paragraph" w:styleId="TOC1">
    <w:name w:val="toc 1"/>
    <w:basedOn w:val="Normal"/>
    <w:next w:val="Normal"/>
    <w:autoRedefine/>
    <w:rsid w:val="001E4518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1E4518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1E4518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uiPriority w:val="39"/>
    <w:rsid w:val="001E4518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1E4518"/>
  </w:style>
  <w:style w:type="paragraph" w:styleId="Title">
    <w:name w:val="Title"/>
    <w:basedOn w:val="Normal"/>
    <w:qFormat/>
    <w:rsid w:val="00BA530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1E4518"/>
    <w:pPr>
      <w:ind w:left="4252"/>
    </w:pPr>
  </w:style>
  <w:style w:type="paragraph" w:customStyle="1" w:styleId="ActNo">
    <w:name w:val="ActNo"/>
    <w:basedOn w:val="BillBasicHeading"/>
    <w:rsid w:val="001E4518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1E4518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1E4518"/>
    <w:pPr>
      <w:ind w:left="1500" w:hanging="400"/>
    </w:pPr>
  </w:style>
  <w:style w:type="paragraph" w:customStyle="1" w:styleId="LongTitle">
    <w:name w:val="LongTitle"/>
    <w:basedOn w:val="BillBasic"/>
    <w:rsid w:val="001E4518"/>
    <w:pPr>
      <w:spacing w:before="300"/>
    </w:pPr>
  </w:style>
  <w:style w:type="paragraph" w:customStyle="1" w:styleId="Minister">
    <w:name w:val="Minister"/>
    <w:basedOn w:val="BillBasic"/>
    <w:rsid w:val="001E4518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1E4518"/>
    <w:pPr>
      <w:tabs>
        <w:tab w:val="left" w:pos="4320"/>
      </w:tabs>
    </w:pPr>
  </w:style>
  <w:style w:type="paragraph" w:customStyle="1" w:styleId="madeunder">
    <w:name w:val="made under"/>
    <w:basedOn w:val="BillBasic"/>
    <w:rsid w:val="001E4518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BA5305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1E4518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1E4518"/>
    <w:rPr>
      <w:i/>
    </w:rPr>
  </w:style>
  <w:style w:type="paragraph" w:customStyle="1" w:styleId="00SigningPage">
    <w:name w:val="00SigningPage"/>
    <w:basedOn w:val="Normal"/>
    <w:rsid w:val="001E4518"/>
  </w:style>
  <w:style w:type="paragraph" w:customStyle="1" w:styleId="Aparareturn">
    <w:name w:val="A para return"/>
    <w:basedOn w:val="BillBasic"/>
    <w:rsid w:val="001E4518"/>
    <w:pPr>
      <w:ind w:left="1600"/>
    </w:pPr>
  </w:style>
  <w:style w:type="paragraph" w:customStyle="1" w:styleId="Asubparareturn">
    <w:name w:val="A subpara return"/>
    <w:basedOn w:val="BillBasic"/>
    <w:rsid w:val="001E4518"/>
    <w:pPr>
      <w:ind w:left="2100"/>
    </w:pPr>
  </w:style>
  <w:style w:type="paragraph" w:customStyle="1" w:styleId="CommentNum">
    <w:name w:val="CommentNum"/>
    <w:basedOn w:val="Comment"/>
    <w:rsid w:val="001E4518"/>
    <w:pPr>
      <w:ind w:left="1800" w:hanging="1800"/>
    </w:pPr>
  </w:style>
  <w:style w:type="paragraph" w:styleId="TOC8">
    <w:name w:val="toc 8"/>
    <w:basedOn w:val="TOC3"/>
    <w:next w:val="Normal"/>
    <w:autoRedefine/>
    <w:rsid w:val="001E4518"/>
    <w:pPr>
      <w:keepNext w:val="0"/>
      <w:spacing w:before="120"/>
    </w:pPr>
  </w:style>
  <w:style w:type="paragraph" w:customStyle="1" w:styleId="Judges">
    <w:name w:val="Judges"/>
    <w:basedOn w:val="Minister"/>
    <w:rsid w:val="001E4518"/>
    <w:pPr>
      <w:spacing w:before="180"/>
    </w:pPr>
  </w:style>
  <w:style w:type="paragraph" w:customStyle="1" w:styleId="BillFor">
    <w:name w:val="BillFor"/>
    <w:basedOn w:val="BillBasicHeading"/>
    <w:rsid w:val="001E4518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1E4518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1E4518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1E4518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1E4518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1E4518"/>
    <w:pPr>
      <w:spacing w:before="60"/>
      <w:ind w:left="2540" w:hanging="400"/>
    </w:pPr>
  </w:style>
  <w:style w:type="paragraph" w:customStyle="1" w:styleId="aDefpara">
    <w:name w:val="aDef para"/>
    <w:basedOn w:val="Apara"/>
    <w:rsid w:val="001E4518"/>
  </w:style>
  <w:style w:type="paragraph" w:customStyle="1" w:styleId="aDefsubpara">
    <w:name w:val="aDef subpara"/>
    <w:basedOn w:val="Asubpara"/>
    <w:rsid w:val="001E4518"/>
  </w:style>
  <w:style w:type="paragraph" w:customStyle="1" w:styleId="Idefpara">
    <w:name w:val="I def para"/>
    <w:basedOn w:val="Ipara"/>
    <w:rsid w:val="001E4518"/>
  </w:style>
  <w:style w:type="paragraph" w:customStyle="1" w:styleId="Idefsubpara">
    <w:name w:val="I def subpara"/>
    <w:basedOn w:val="Isubpara"/>
    <w:rsid w:val="001E4518"/>
  </w:style>
  <w:style w:type="paragraph" w:customStyle="1" w:styleId="Notified">
    <w:name w:val="Notified"/>
    <w:basedOn w:val="BillBasic"/>
    <w:rsid w:val="001E4518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1E4518"/>
  </w:style>
  <w:style w:type="paragraph" w:customStyle="1" w:styleId="IDict-Heading">
    <w:name w:val="I Dict-Heading"/>
    <w:basedOn w:val="BillBasicHeading"/>
    <w:rsid w:val="001E4518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1E4518"/>
  </w:style>
  <w:style w:type="paragraph" w:styleId="Salutation">
    <w:name w:val="Salutation"/>
    <w:basedOn w:val="Normal"/>
    <w:next w:val="Normal"/>
    <w:rsid w:val="00BA5305"/>
  </w:style>
  <w:style w:type="paragraph" w:customStyle="1" w:styleId="aNoteBullet">
    <w:name w:val="aNoteBullet"/>
    <w:basedOn w:val="aNoteSymb"/>
    <w:rsid w:val="001E4518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BA5305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1E4518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1E4518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1E4518"/>
    <w:pPr>
      <w:spacing w:before="60"/>
      <w:ind w:firstLine="0"/>
    </w:pPr>
  </w:style>
  <w:style w:type="paragraph" w:customStyle="1" w:styleId="MinisterWord">
    <w:name w:val="MinisterWord"/>
    <w:basedOn w:val="Normal"/>
    <w:rsid w:val="001E4518"/>
    <w:pPr>
      <w:spacing w:before="60"/>
      <w:jc w:val="right"/>
    </w:pPr>
  </w:style>
  <w:style w:type="paragraph" w:customStyle="1" w:styleId="aExamPara">
    <w:name w:val="aExamPara"/>
    <w:basedOn w:val="aExam"/>
    <w:rsid w:val="001E4518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1E4518"/>
    <w:pPr>
      <w:ind w:left="1500"/>
    </w:pPr>
  </w:style>
  <w:style w:type="paragraph" w:customStyle="1" w:styleId="aExamBullet">
    <w:name w:val="aExamBullet"/>
    <w:basedOn w:val="aExam"/>
    <w:rsid w:val="001E4518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1E4518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1E4518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1E4518"/>
    <w:rPr>
      <w:sz w:val="20"/>
    </w:rPr>
  </w:style>
  <w:style w:type="paragraph" w:customStyle="1" w:styleId="aParaNotePara">
    <w:name w:val="aParaNotePara"/>
    <w:basedOn w:val="aNoteParaSymb"/>
    <w:rsid w:val="001E4518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1E4518"/>
    <w:rPr>
      <w:b/>
    </w:rPr>
  </w:style>
  <w:style w:type="character" w:customStyle="1" w:styleId="charBoldItals">
    <w:name w:val="charBoldItals"/>
    <w:basedOn w:val="DefaultParagraphFont"/>
    <w:rsid w:val="001E4518"/>
    <w:rPr>
      <w:b/>
      <w:i/>
    </w:rPr>
  </w:style>
  <w:style w:type="character" w:customStyle="1" w:styleId="charItals">
    <w:name w:val="charItals"/>
    <w:basedOn w:val="DefaultParagraphFont"/>
    <w:rsid w:val="001E4518"/>
    <w:rPr>
      <w:i/>
    </w:rPr>
  </w:style>
  <w:style w:type="character" w:customStyle="1" w:styleId="charUnderline">
    <w:name w:val="charUnderline"/>
    <w:basedOn w:val="DefaultParagraphFont"/>
    <w:rsid w:val="001E4518"/>
    <w:rPr>
      <w:u w:val="single"/>
    </w:rPr>
  </w:style>
  <w:style w:type="paragraph" w:customStyle="1" w:styleId="TableHd">
    <w:name w:val="TableHd"/>
    <w:basedOn w:val="Normal"/>
    <w:rsid w:val="001E4518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1E4518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1E4518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1E4518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1E4518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1E4518"/>
    <w:pPr>
      <w:spacing w:before="60" w:after="60"/>
    </w:pPr>
  </w:style>
  <w:style w:type="paragraph" w:customStyle="1" w:styleId="IshadedH5Sec">
    <w:name w:val="I shaded H5 Sec"/>
    <w:basedOn w:val="AH5Sec"/>
    <w:rsid w:val="001E4518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1E4518"/>
  </w:style>
  <w:style w:type="paragraph" w:customStyle="1" w:styleId="Penalty">
    <w:name w:val="Penalty"/>
    <w:basedOn w:val="Amainreturn"/>
    <w:rsid w:val="001E4518"/>
  </w:style>
  <w:style w:type="paragraph" w:customStyle="1" w:styleId="aNoteText">
    <w:name w:val="aNoteText"/>
    <w:basedOn w:val="aNoteSymb"/>
    <w:rsid w:val="001E4518"/>
    <w:pPr>
      <w:spacing w:before="60"/>
      <w:ind w:firstLine="0"/>
    </w:pPr>
  </w:style>
  <w:style w:type="paragraph" w:customStyle="1" w:styleId="aExamINum">
    <w:name w:val="aExamINum"/>
    <w:basedOn w:val="aExam"/>
    <w:rsid w:val="00BA5305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1E4518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Amain"/>
    <w:rsid w:val="00BA5305"/>
    <w:pPr>
      <w:keepNext/>
      <w:keepLines/>
      <w:numPr>
        <w:numId w:val="9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1E4518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1E4518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1E4518"/>
    <w:pPr>
      <w:ind w:left="1600"/>
    </w:pPr>
  </w:style>
  <w:style w:type="paragraph" w:customStyle="1" w:styleId="aExampar">
    <w:name w:val="aExampar"/>
    <w:basedOn w:val="aExamss"/>
    <w:rsid w:val="001E4518"/>
    <w:pPr>
      <w:ind w:left="1600"/>
    </w:pPr>
  </w:style>
  <w:style w:type="paragraph" w:customStyle="1" w:styleId="aExamINumss">
    <w:name w:val="aExamINumss"/>
    <w:basedOn w:val="aExamss"/>
    <w:rsid w:val="001E4518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1E4518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1E4518"/>
    <w:pPr>
      <w:ind w:left="1500"/>
    </w:pPr>
  </w:style>
  <w:style w:type="paragraph" w:customStyle="1" w:styleId="aExamNumTextpar">
    <w:name w:val="aExamNumTextpar"/>
    <w:basedOn w:val="aExampar"/>
    <w:rsid w:val="00BA5305"/>
    <w:pPr>
      <w:ind w:left="2000"/>
    </w:pPr>
  </w:style>
  <w:style w:type="paragraph" w:customStyle="1" w:styleId="aExamBulletss">
    <w:name w:val="aExamBulletss"/>
    <w:basedOn w:val="aExamss"/>
    <w:rsid w:val="001E4518"/>
    <w:pPr>
      <w:ind w:left="1500" w:hanging="400"/>
    </w:pPr>
  </w:style>
  <w:style w:type="paragraph" w:customStyle="1" w:styleId="aExamBulletpar">
    <w:name w:val="aExamBulletpar"/>
    <w:basedOn w:val="aExampar"/>
    <w:rsid w:val="001E4518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1E4518"/>
    <w:pPr>
      <w:ind w:left="2140"/>
    </w:pPr>
  </w:style>
  <w:style w:type="paragraph" w:customStyle="1" w:styleId="aExamsubpar">
    <w:name w:val="aExamsubpar"/>
    <w:basedOn w:val="aExamss"/>
    <w:rsid w:val="001E4518"/>
    <w:pPr>
      <w:ind w:left="2140"/>
    </w:pPr>
  </w:style>
  <w:style w:type="paragraph" w:customStyle="1" w:styleId="aExamNumsubpar">
    <w:name w:val="aExamNumsubpar"/>
    <w:basedOn w:val="aExamsubpar"/>
    <w:rsid w:val="00BA5305"/>
    <w:pPr>
      <w:tabs>
        <w:tab w:val="left" w:pos="2540"/>
      </w:tabs>
      <w:ind w:left="2540" w:hanging="400"/>
    </w:pPr>
  </w:style>
  <w:style w:type="paragraph" w:customStyle="1" w:styleId="aExamNumTextsubpar">
    <w:name w:val="aExamNumTextsubpar"/>
    <w:basedOn w:val="aExampar"/>
    <w:rsid w:val="00BA5305"/>
    <w:pPr>
      <w:ind w:left="2540"/>
    </w:pPr>
  </w:style>
  <w:style w:type="paragraph" w:customStyle="1" w:styleId="aExamBulletsubpar">
    <w:name w:val="aExamBulletsubpar"/>
    <w:basedOn w:val="aExamsubpar"/>
    <w:rsid w:val="00BA5305"/>
    <w:pPr>
      <w:tabs>
        <w:tab w:val="num" w:pos="2540"/>
      </w:tabs>
      <w:ind w:left="2540" w:hanging="400"/>
    </w:pPr>
  </w:style>
  <w:style w:type="paragraph" w:customStyle="1" w:styleId="aNoteTextss">
    <w:name w:val="aNoteTextss"/>
    <w:basedOn w:val="Normal"/>
    <w:rsid w:val="001E4518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1E4518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1E4518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1E4518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1E4518"/>
    <w:pPr>
      <w:spacing w:before="60"/>
      <w:ind w:firstLine="0"/>
    </w:pPr>
  </w:style>
  <w:style w:type="paragraph" w:customStyle="1" w:styleId="aNoteParasubpar">
    <w:name w:val="aNoteParasubpar"/>
    <w:basedOn w:val="aNotesubpar"/>
    <w:rsid w:val="00BA5305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BA5305"/>
    <w:pPr>
      <w:numPr>
        <w:numId w:val="12"/>
      </w:numPr>
      <w:tabs>
        <w:tab w:val="left" w:pos="3240"/>
      </w:tabs>
      <w:spacing w:before="60"/>
    </w:pPr>
  </w:style>
  <w:style w:type="paragraph" w:customStyle="1" w:styleId="aNoteBulletss">
    <w:name w:val="aNoteBulletss"/>
    <w:basedOn w:val="Normal"/>
    <w:rsid w:val="001E4518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1E4518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1E4518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BA5305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BA5305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BA5305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1E4518"/>
  </w:style>
  <w:style w:type="paragraph" w:customStyle="1" w:styleId="SchApara">
    <w:name w:val="Sch A para"/>
    <w:basedOn w:val="Apara"/>
    <w:rsid w:val="001E4518"/>
  </w:style>
  <w:style w:type="paragraph" w:customStyle="1" w:styleId="SchAsubpara">
    <w:name w:val="Sch A subpara"/>
    <w:basedOn w:val="Asubpara"/>
    <w:rsid w:val="001E4518"/>
  </w:style>
  <w:style w:type="paragraph" w:customStyle="1" w:styleId="SchAsubsubpara">
    <w:name w:val="Sch A subsubpara"/>
    <w:basedOn w:val="Asubsubpara"/>
    <w:rsid w:val="001E4518"/>
  </w:style>
  <w:style w:type="paragraph" w:customStyle="1" w:styleId="TOCOL1">
    <w:name w:val="TOCOL 1"/>
    <w:basedOn w:val="TOC1"/>
    <w:rsid w:val="001E4518"/>
  </w:style>
  <w:style w:type="paragraph" w:customStyle="1" w:styleId="TOCOL2">
    <w:name w:val="TOCOL 2"/>
    <w:basedOn w:val="TOC2"/>
    <w:rsid w:val="001E4518"/>
    <w:pPr>
      <w:keepNext w:val="0"/>
    </w:pPr>
  </w:style>
  <w:style w:type="paragraph" w:customStyle="1" w:styleId="TOCOL3">
    <w:name w:val="TOCOL 3"/>
    <w:basedOn w:val="TOC3"/>
    <w:rsid w:val="001E4518"/>
    <w:pPr>
      <w:keepNext w:val="0"/>
    </w:pPr>
  </w:style>
  <w:style w:type="paragraph" w:customStyle="1" w:styleId="TOCOL4">
    <w:name w:val="TOCOL 4"/>
    <w:basedOn w:val="TOC4"/>
    <w:rsid w:val="001E4518"/>
    <w:pPr>
      <w:keepNext w:val="0"/>
    </w:pPr>
  </w:style>
  <w:style w:type="paragraph" w:customStyle="1" w:styleId="TOCOL5">
    <w:name w:val="TOCOL 5"/>
    <w:basedOn w:val="TOC5"/>
    <w:rsid w:val="001E4518"/>
    <w:pPr>
      <w:tabs>
        <w:tab w:val="left" w:pos="400"/>
      </w:tabs>
    </w:pPr>
  </w:style>
  <w:style w:type="paragraph" w:customStyle="1" w:styleId="TOCOL6">
    <w:name w:val="TOCOL 6"/>
    <w:basedOn w:val="TOC6"/>
    <w:rsid w:val="001E4518"/>
    <w:pPr>
      <w:keepNext w:val="0"/>
    </w:pPr>
  </w:style>
  <w:style w:type="paragraph" w:customStyle="1" w:styleId="TOCOL7">
    <w:name w:val="TOCOL 7"/>
    <w:basedOn w:val="TOC7"/>
    <w:rsid w:val="001E4518"/>
  </w:style>
  <w:style w:type="paragraph" w:customStyle="1" w:styleId="TOCOL8">
    <w:name w:val="TOCOL 8"/>
    <w:basedOn w:val="TOC8"/>
    <w:rsid w:val="001E4518"/>
  </w:style>
  <w:style w:type="paragraph" w:customStyle="1" w:styleId="TOCOL9">
    <w:name w:val="TOCOL 9"/>
    <w:basedOn w:val="TOC9"/>
    <w:rsid w:val="001E4518"/>
    <w:pPr>
      <w:ind w:right="0"/>
    </w:pPr>
  </w:style>
  <w:style w:type="paragraph" w:styleId="TOC9">
    <w:name w:val="toc 9"/>
    <w:basedOn w:val="Normal"/>
    <w:next w:val="Normal"/>
    <w:autoRedefine/>
    <w:rsid w:val="001E4518"/>
    <w:pPr>
      <w:ind w:left="1920" w:right="600"/>
    </w:pPr>
  </w:style>
  <w:style w:type="paragraph" w:customStyle="1" w:styleId="Billname1">
    <w:name w:val="Billname1"/>
    <w:basedOn w:val="Normal"/>
    <w:rsid w:val="001E4518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1E4518"/>
    <w:rPr>
      <w:sz w:val="20"/>
    </w:rPr>
  </w:style>
  <w:style w:type="paragraph" w:customStyle="1" w:styleId="TablePara10">
    <w:name w:val="TablePara10"/>
    <w:basedOn w:val="tablepara"/>
    <w:rsid w:val="001E4518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1E4518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1E4518"/>
  </w:style>
  <w:style w:type="character" w:customStyle="1" w:styleId="charPage">
    <w:name w:val="charPage"/>
    <w:basedOn w:val="DefaultParagraphFont"/>
    <w:rsid w:val="001E4518"/>
  </w:style>
  <w:style w:type="character" w:styleId="PageNumber">
    <w:name w:val="page number"/>
    <w:basedOn w:val="DefaultParagraphFont"/>
    <w:rsid w:val="001E4518"/>
  </w:style>
  <w:style w:type="paragraph" w:customStyle="1" w:styleId="Letterhead">
    <w:name w:val="Letterhead"/>
    <w:rsid w:val="00BA5305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BA5305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BA5305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1E45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E4518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BA5305"/>
  </w:style>
  <w:style w:type="character" w:customStyle="1" w:styleId="FooterChar">
    <w:name w:val="Footer Char"/>
    <w:basedOn w:val="DefaultParagraphFont"/>
    <w:link w:val="Footer"/>
    <w:rsid w:val="001E4518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BA5305"/>
    <w:rPr>
      <w:sz w:val="24"/>
      <w:lang w:eastAsia="en-US"/>
    </w:rPr>
  </w:style>
  <w:style w:type="paragraph" w:customStyle="1" w:styleId="01aPreamble">
    <w:name w:val="01aPreamble"/>
    <w:basedOn w:val="Normal"/>
    <w:qFormat/>
    <w:rsid w:val="001E4518"/>
  </w:style>
  <w:style w:type="paragraph" w:customStyle="1" w:styleId="TableBullet">
    <w:name w:val="TableBullet"/>
    <w:basedOn w:val="TableText10"/>
    <w:qFormat/>
    <w:rsid w:val="001E4518"/>
    <w:pPr>
      <w:numPr>
        <w:numId w:val="23"/>
      </w:numPr>
    </w:pPr>
  </w:style>
  <w:style w:type="paragraph" w:customStyle="1" w:styleId="BillCrest">
    <w:name w:val="Bill Crest"/>
    <w:basedOn w:val="Normal"/>
    <w:next w:val="Normal"/>
    <w:rsid w:val="001E4518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1E4518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BA5305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BA5305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1E4518"/>
    <w:pPr>
      <w:numPr>
        <w:numId w:val="24"/>
      </w:numPr>
    </w:pPr>
  </w:style>
  <w:style w:type="paragraph" w:customStyle="1" w:styleId="ISchMain">
    <w:name w:val="I Sch Main"/>
    <w:basedOn w:val="BillBasic"/>
    <w:rsid w:val="001E4518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1E4518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1E4518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1E4518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1E4518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1E4518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1E4518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1E4518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BA5305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BA5305"/>
    <w:rPr>
      <w:sz w:val="24"/>
      <w:lang w:eastAsia="en-US"/>
    </w:rPr>
  </w:style>
  <w:style w:type="paragraph" w:customStyle="1" w:styleId="Status">
    <w:name w:val="Status"/>
    <w:basedOn w:val="Normal"/>
    <w:rsid w:val="001E4518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1E4518"/>
    <w:pPr>
      <w:spacing w:before="60"/>
      <w:jc w:val="center"/>
    </w:pPr>
  </w:style>
  <w:style w:type="character" w:styleId="CommentReference">
    <w:name w:val="annotation reference"/>
    <w:basedOn w:val="DefaultParagraphFont"/>
    <w:uiPriority w:val="99"/>
    <w:semiHidden/>
    <w:unhideWhenUsed/>
    <w:rsid w:val="002B19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9D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9D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9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9D4"/>
    <w:rPr>
      <w:b/>
      <w:bCs/>
      <w:lang w:eastAsia="en-US"/>
    </w:rPr>
  </w:style>
  <w:style w:type="paragraph" w:styleId="Revision">
    <w:name w:val="Revision"/>
    <w:hidden/>
    <w:uiPriority w:val="99"/>
    <w:semiHidden/>
    <w:rsid w:val="002B19D4"/>
    <w:rPr>
      <w:sz w:val="24"/>
      <w:lang w:eastAsia="en-US"/>
    </w:rPr>
  </w:style>
  <w:style w:type="paragraph" w:customStyle="1" w:styleId="a">
    <w:name w:val="a"/>
    <w:basedOn w:val="Amainreturn"/>
    <w:rsid w:val="00205BB0"/>
    <w:rPr>
      <w:b/>
      <w:i/>
    </w:rPr>
  </w:style>
  <w:style w:type="character" w:styleId="UnresolvedMention">
    <w:name w:val="Unresolved Mention"/>
    <w:basedOn w:val="DefaultParagraphFont"/>
    <w:uiPriority w:val="99"/>
    <w:semiHidden/>
    <w:unhideWhenUsed/>
    <w:rsid w:val="00E804D7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1E4518"/>
  </w:style>
  <w:style w:type="paragraph" w:customStyle="1" w:styleId="05Endnote0">
    <w:name w:val="05Endnote"/>
    <w:basedOn w:val="Normal"/>
    <w:rsid w:val="001E4518"/>
  </w:style>
  <w:style w:type="paragraph" w:customStyle="1" w:styleId="06Copyright">
    <w:name w:val="06Copyright"/>
    <w:basedOn w:val="Normal"/>
    <w:rsid w:val="001E4518"/>
  </w:style>
  <w:style w:type="paragraph" w:customStyle="1" w:styleId="RepubNo">
    <w:name w:val="RepubNo"/>
    <w:basedOn w:val="BillBasicHeading"/>
    <w:rsid w:val="001E4518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1E4518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1E4518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1E4518"/>
    <w:rPr>
      <w:rFonts w:ascii="Arial" w:hAnsi="Arial"/>
      <w:b/>
    </w:rPr>
  </w:style>
  <w:style w:type="paragraph" w:customStyle="1" w:styleId="CoverSubHdg">
    <w:name w:val="CoverSubHdg"/>
    <w:basedOn w:val="CoverHeading"/>
    <w:rsid w:val="001E4518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1E4518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1E4518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1E4518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1E4518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1E4518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1E4518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1E4518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1E4518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1E4518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1E4518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1E4518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1E4518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1E4518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1E4518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1E4518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1E4518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1E4518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1E4518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1E4518"/>
  </w:style>
  <w:style w:type="character" w:customStyle="1" w:styleId="charTableText">
    <w:name w:val="charTableText"/>
    <w:basedOn w:val="DefaultParagraphFont"/>
    <w:rsid w:val="001E4518"/>
  </w:style>
  <w:style w:type="paragraph" w:customStyle="1" w:styleId="Dict-HeadingSymb">
    <w:name w:val="Dict-Heading Symb"/>
    <w:basedOn w:val="Dict-Heading"/>
    <w:rsid w:val="001E4518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1E4518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1E4518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1E4518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1E4518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1E451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1E4518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1E4518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1E4518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1E4518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1E4518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1E4518"/>
    <w:pPr>
      <w:ind w:hanging="480"/>
    </w:pPr>
  </w:style>
  <w:style w:type="paragraph" w:styleId="MacroText">
    <w:name w:val="macro"/>
    <w:link w:val="MacroTextChar"/>
    <w:semiHidden/>
    <w:rsid w:val="001E45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1E4518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1E4518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1E4518"/>
  </w:style>
  <w:style w:type="paragraph" w:customStyle="1" w:styleId="RenumProvEntries">
    <w:name w:val="RenumProvEntries"/>
    <w:basedOn w:val="Normal"/>
    <w:rsid w:val="001E4518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1E4518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1E4518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1E4518"/>
    <w:pPr>
      <w:ind w:left="252"/>
    </w:pPr>
  </w:style>
  <w:style w:type="paragraph" w:customStyle="1" w:styleId="RenumTableHdg">
    <w:name w:val="RenumTableHdg"/>
    <w:basedOn w:val="Normal"/>
    <w:rsid w:val="001E4518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1E4518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1E4518"/>
    <w:rPr>
      <w:b w:val="0"/>
    </w:rPr>
  </w:style>
  <w:style w:type="paragraph" w:customStyle="1" w:styleId="Sched-FormSymb">
    <w:name w:val="Sched-Form Symb"/>
    <w:basedOn w:val="Sched-Form"/>
    <w:rsid w:val="001E4518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1E4518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1E4518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1E4518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1E4518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1E4518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1E4518"/>
    <w:pPr>
      <w:ind w:firstLine="0"/>
    </w:pPr>
    <w:rPr>
      <w:b/>
    </w:rPr>
  </w:style>
  <w:style w:type="paragraph" w:customStyle="1" w:styleId="EndNoteTextPub">
    <w:name w:val="EndNoteTextPub"/>
    <w:basedOn w:val="Normal"/>
    <w:rsid w:val="001E4518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1E4518"/>
    <w:rPr>
      <w:szCs w:val="24"/>
    </w:rPr>
  </w:style>
  <w:style w:type="character" w:customStyle="1" w:styleId="charNotBold">
    <w:name w:val="charNotBold"/>
    <w:basedOn w:val="DefaultParagraphFont"/>
    <w:rsid w:val="001E4518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1E4518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1E4518"/>
    <w:pPr>
      <w:numPr>
        <w:numId w:val="29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1E4518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1E4518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1E4518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1E4518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1E4518"/>
    <w:pPr>
      <w:tabs>
        <w:tab w:val="left" w:pos="2700"/>
      </w:tabs>
      <w:spacing w:before="0"/>
    </w:pPr>
  </w:style>
  <w:style w:type="paragraph" w:customStyle="1" w:styleId="parainpara">
    <w:name w:val="para in para"/>
    <w:rsid w:val="001E4518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1E4518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1E4518"/>
    <w:pPr>
      <w:numPr>
        <w:numId w:val="40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1E4518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1E4518"/>
    <w:rPr>
      <w:b w:val="0"/>
      <w:sz w:val="32"/>
    </w:rPr>
  </w:style>
  <w:style w:type="paragraph" w:customStyle="1" w:styleId="MH1Chapter">
    <w:name w:val="M H1 Chapter"/>
    <w:basedOn w:val="AH1Chapter"/>
    <w:rsid w:val="001E4518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1E4518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1E4518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1E4518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1E4518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1E4518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1E4518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1E4518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1E4518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1E4518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1E4518"/>
    <w:pPr>
      <w:ind w:left="1800"/>
    </w:pPr>
  </w:style>
  <w:style w:type="paragraph" w:customStyle="1" w:styleId="Modparareturn">
    <w:name w:val="Mod para return"/>
    <w:basedOn w:val="AparareturnSymb"/>
    <w:rsid w:val="001E4518"/>
    <w:pPr>
      <w:ind w:left="2300"/>
    </w:pPr>
  </w:style>
  <w:style w:type="paragraph" w:customStyle="1" w:styleId="Modsubparareturn">
    <w:name w:val="Mod subpara return"/>
    <w:basedOn w:val="AsubparareturnSymb"/>
    <w:rsid w:val="001E4518"/>
    <w:pPr>
      <w:ind w:left="3040"/>
    </w:pPr>
  </w:style>
  <w:style w:type="paragraph" w:customStyle="1" w:styleId="Modref">
    <w:name w:val="Mod ref"/>
    <w:basedOn w:val="refSymb"/>
    <w:rsid w:val="001E4518"/>
    <w:pPr>
      <w:ind w:left="1100"/>
    </w:pPr>
  </w:style>
  <w:style w:type="paragraph" w:customStyle="1" w:styleId="ModaNote">
    <w:name w:val="Mod aNote"/>
    <w:basedOn w:val="aNoteSymb"/>
    <w:rsid w:val="001E4518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1E4518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1E4518"/>
    <w:pPr>
      <w:ind w:left="0" w:firstLine="0"/>
    </w:pPr>
  </w:style>
  <w:style w:type="paragraph" w:customStyle="1" w:styleId="AmdtEntries">
    <w:name w:val="AmdtEntries"/>
    <w:basedOn w:val="BillBasicHeading"/>
    <w:rsid w:val="001E4518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1E4518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1E4518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1E4518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1E4518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1E4518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1E4518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1E4518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1E4518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1E4518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1E4518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1E4518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1E4518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1E4518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1E4518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1E4518"/>
  </w:style>
  <w:style w:type="paragraph" w:customStyle="1" w:styleId="refSymb">
    <w:name w:val="ref Symb"/>
    <w:basedOn w:val="BillBasic"/>
    <w:next w:val="Normal"/>
    <w:rsid w:val="001E4518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1E4518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1E4518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1E4518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1E4518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1E4518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1E4518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1E4518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1E4518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1E4518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1E4518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1E4518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1E4518"/>
    <w:pPr>
      <w:ind w:left="1599" w:hanging="2081"/>
    </w:pPr>
  </w:style>
  <w:style w:type="paragraph" w:customStyle="1" w:styleId="IdefsubparaSymb">
    <w:name w:val="I def subpara Symb"/>
    <w:basedOn w:val="IsubparaSymb"/>
    <w:rsid w:val="001E4518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1E4518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1E4518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1E4518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1E4518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1E4518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1E4518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1E4518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1E4518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1E4518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1E4518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1E4518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1E4518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1E4518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1E4518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1E4518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1E4518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1E4518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1E4518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1E4518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1E4518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1E4518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1E4518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1E4518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1E4518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1E4518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1E4518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1E4518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1E4518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1E4518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1E4518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1E4518"/>
  </w:style>
  <w:style w:type="paragraph" w:customStyle="1" w:styleId="PenaltyParaSymb">
    <w:name w:val="PenaltyPara Symb"/>
    <w:basedOn w:val="Normal"/>
    <w:rsid w:val="001E4518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1E4518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1E4518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1E45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0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6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legislation.act.gov.au/a/2001-14" TargetMode="External"/><Relationship Id="rId34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yperlink" Target="http://www.legislation.act.gov.au/a/2001-14" TargetMode="External"/><Relationship Id="rId33" Type="http://schemas.openxmlformats.org/officeDocument/2006/relationships/header" Target="header8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.legislation.act.gov.au/a/2001-14" TargetMode="External"/><Relationship Id="rId32" Type="http://schemas.openxmlformats.org/officeDocument/2006/relationships/hyperlink" Target="http://www.legislation.act.gov.au" TargetMode="External"/><Relationship Id="rId37" Type="http://schemas.openxmlformats.org/officeDocument/2006/relationships/header" Target="header10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www.legislation.act.gov.au/a/2001-14" TargetMode="External"/><Relationship Id="rId28" Type="http://schemas.openxmlformats.org/officeDocument/2006/relationships/footer" Target="footer7.xml"/><Relationship Id="rId36" Type="http://schemas.openxmlformats.org/officeDocument/2006/relationships/footer" Target="footer1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yperlink" Target="http://www.legislation.act.gov.au/a/2001-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1999-46" TargetMode="External"/><Relationship Id="rId14" Type="http://schemas.openxmlformats.org/officeDocument/2006/relationships/header" Target="header3.xml"/><Relationship Id="rId22" Type="http://schemas.openxmlformats.org/officeDocument/2006/relationships/hyperlink" Target="http://www.legislation.act.gov.au/sl/2002-28" TargetMode="External"/><Relationship Id="rId27" Type="http://schemas.openxmlformats.org/officeDocument/2006/relationships/header" Target="header7.xml"/><Relationship Id="rId30" Type="http://schemas.openxmlformats.org/officeDocument/2006/relationships/footer" Target="footer9.xml"/><Relationship Id="rId35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97839-72D1-4E2F-AEDC-06CA9CCF8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1900</Words>
  <Characters>9385</Characters>
  <Application>Microsoft Office Word</Application>
  <DocSecurity>0</DocSecurity>
  <Lines>294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Gambling and Racing Control (Code of Practice) Regulation 2002</vt:lpstr>
    </vt:vector>
  </TitlesOfParts>
  <Manager>Regulation</Manager>
  <Company>Section</Company>
  <LinksUpToDate>false</LinksUpToDate>
  <CharactersWithSpaces>11206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Gambling and Racing Control (Code of Practice) Regulation 2002</dc:title>
  <dc:subject>Amendment</dc:subject>
  <dc:creator>ACT Government</dc:creator>
  <cp:keywords>N01</cp:keywords>
  <dc:description>J2019-357</dc:description>
  <cp:lastModifiedBy>PCODCS</cp:lastModifiedBy>
  <cp:revision>4</cp:revision>
  <cp:lastPrinted>2019-05-22T03:05:00Z</cp:lastPrinted>
  <dcterms:created xsi:type="dcterms:W3CDTF">2019-05-24T04:06:00Z</dcterms:created>
  <dcterms:modified xsi:type="dcterms:W3CDTF">2019-05-24T04:06:00Z</dcterms:modified>
  <cp:category>SL2019-10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DrafterName">
    <vt:lpwstr>Michael Balthazar</vt:lpwstr>
  </property>
  <property fmtid="{D5CDD505-2E9C-101B-9397-08002B2CF9AE}" pid="4" name="DrafterEmail">
    <vt:lpwstr>michael.balthazar@act.gov.au</vt:lpwstr>
  </property>
  <property fmtid="{D5CDD505-2E9C-101B-9397-08002B2CF9AE}" pid="5" name="DrafterPh">
    <vt:lpwstr>62053704</vt:lpwstr>
  </property>
  <property fmtid="{D5CDD505-2E9C-101B-9397-08002B2CF9AE}" pid="6" name="SettlerName">
    <vt:lpwstr>Mary Toohey</vt:lpwstr>
  </property>
  <property fmtid="{D5CDD505-2E9C-101B-9397-08002B2CF9AE}" pid="7" name="SettlerEmail">
    <vt:lpwstr>mary.toohey@act.gov.au</vt:lpwstr>
  </property>
  <property fmtid="{D5CDD505-2E9C-101B-9397-08002B2CF9AE}" pid="8" name="SettlerPh">
    <vt:lpwstr>62053490</vt:lpwstr>
  </property>
  <property fmtid="{D5CDD505-2E9C-101B-9397-08002B2CF9AE}" pid="9" name="Client">
    <vt:lpwstr>Justice and Community Safety Directorate</vt:lpwstr>
  </property>
  <property fmtid="{D5CDD505-2E9C-101B-9397-08002B2CF9AE}" pid="10" name="ClientName1">
    <vt:lpwstr>Alex Ingham</vt:lpwstr>
  </property>
  <property fmtid="{D5CDD505-2E9C-101B-9397-08002B2CF9AE}" pid="11" name="ClientEmail1">
    <vt:lpwstr>Alexander.Ingham@act.gov.au</vt:lpwstr>
  </property>
  <property fmtid="{D5CDD505-2E9C-101B-9397-08002B2CF9AE}" pid="12" name="ClientPh1">
    <vt:lpwstr>62070305</vt:lpwstr>
  </property>
  <property fmtid="{D5CDD505-2E9C-101B-9397-08002B2CF9AE}" pid="13" name="ClientName2">
    <vt:lpwstr>Julie Beddoe</vt:lpwstr>
  </property>
  <property fmtid="{D5CDD505-2E9C-101B-9397-08002B2CF9AE}" pid="14" name="ClientEmail2">
    <vt:lpwstr>Julie.Beddoe@act.gov.au</vt:lpwstr>
  </property>
  <property fmtid="{D5CDD505-2E9C-101B-9397-08002B2CF9AE}" pid="15" name="ClientPh2">
    <vt:lpwstr>62074264</vt:lpwstr>
  </property>
  <property fmtid="{D5CDD505-2E9C-101B-9397-08002B2CF9AE}" pid="16" name="jobType">
    <vt:lpwstr>Drafting</vt:lpwstr>
  </property>
  <property fmtid="{D5CDD505-2E9C-101B-9397-08002B2CF9AE}" pid="17" name="DMSID">
    <vt:lpwstr>1049153</vt:lpwstr>
  </property>
  <property fmtid="{D5CDD505-2E9C-101B-9397-08002B2CF9AE}" pid="18" name="JMSREQUIREDCHECKIN">
    <vt:lpwstr/>
  </property>
  <property fmtid="{D5CDD505-2E9C-101B-9397-08002B2CF9AE}" pid="19" name="CHECKEDOUTFROMJMS">
    <vt:lpwstr/>
  </property>
  <property fmtid="{D5CDD505-2E9C-101B-9397-08002B2CF9AE}" pid="20" name="Status">
    <vt:lpwstr> </vt:lpwstr>
  </property>
  <property fmtid="{D5CDD505-2E9C-101B-9397-08002B2CF9AE}" pid="21" name="Eff">
    <vt:lpwstr> </vt:lpwstr>
  </property>
  <property fmtid="{D5CDD505-2E9C-101B-9397-08002B2CF9AE}" pid="22" name="EndDt">
    <vt:lpwstr>  </vt:lpwstr>
  </property>
  <property fmtid="{D5CDD505-2E9C-101B-9397-08002B2CF9AE}" pid="23" name="RepubDt">
    <vt:lpwstr>  </vt:lpwstr>
  </property>
  <property fmtid="{D5CDD505-2E9C-101B-9397-08002B2CF9AE}" pid="24" name="StartDt">
    <vt:lpwstr>  </vt:lpwstr>
  </property>
</Properties>
</file>