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0EF6" w14:textId="77777777" w:rsidR="007D6735" w:rsidRDefault="007D6735" w:rsidP="007D6735">
      <w:pPr>
        <w:jc w:val="center"/>
      </w:pPr>
      <w:bookmarkStart w:id="0" w:name="_Hlk36710347"/>
      <w:r>
        <w:rPr>
          <w:noProof/>
          <w:lang w:eastAsia="en-AU"/>
        </w:rPr>
        <w:drawing>
          <wp:inline distT="0" distB="0" distL="0" distR="0" wp14:anchorId="004C9102" wp14:editId="1463996D">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7CAE14A" w14:textId="77777777" w:rsidR="007D6735" w:rsidRDefault="007D6735" w:rsidP="007D6735">
      <w:pPr>
        <w:jc w:val="center"/>
        <w:rPr>
          <w:rFonts w:ascii="Arial" w:hAnsi="Arial"/>
        </w:rPr>
      </w:pPr>
      <w:r>
        <w:rPr>
          <w:rFonts w:ascii="Arial" w:hAnsi="Arial"/>
        </w:rPr>
        <w:t>Australian Capital Territory</w:t>
      </w:r>
    </w:p>
    <w:p w14:paraId="7D319943" w14:textId="339AF1B1" w:rsidR="007D6735" w:rsidRDefault="00A973EB" w:rsidP="007D6735">
      <w:pPr>
        <w:pStyle w:val="Billname1"/>
      </w:pPr>
      <w:r>
        <w:fldChar w:fldCharType="begin"/>
      </w:r>
      <w:r>
        <w:instrText xml:space="preserve"> REF Citation \*charformat </w:instrText>
      </w:r>
      <w:r>
        <w:fldChar w:fldCharType="separate"/>
      </w:r>
      <w:r w:rsidR="00CB35A8">
        <w:t>Motor Accident Injuries (Premiums and Administration) Regulation 2019</w:t>
      </w:r>
      <w:r>
        <w:fldChar w:fldCharType="end"/>
      </w:r>
      <w:r w:rsidR="007D6735">
        <w:t xml:space="preserve">    </w:t>
      </w:r>
    </w:p>
    <w:p w14:paraId="72D1A72F" w14:textId="40E21F35" w:rsidR="007D6735" w:rsidRDefault="005F3B8A" w:rsidP="007D6735">
      <w:pPr>
        <w:pStyle w:val="ActNo"/>
      </w:pPr>
      <w:bookmarkStart w:id="1" w:name="LawNo"/>
      <w:r>
        <w:t>SL2019-28</w:t>
      </w:r>
      <w:bookmarkEnd w:id="1"/>
    </w:p>
    <w:p w14:paraId="70079C0D" w14:textId="77777777" w:rsidR="007D6735" w:rsidRDefault="007D6735" w:rsidP="007D6735">
      <w:pPr>
        <w:pStyle w:val="CoverInForce"/>
      </w:pPr>
      <w:r>
        <w:t>made under the</w:t>
      </w:r>
    </w:p>
    <w:p w14:paraId="6EFA80CD" w14:textId="2F06D7F3" w:rsidR="007D6735" w:rsidRDefault="00A973EB" w:rsidP="007D6735">
      <w:pPr>
        <w:pStyle w:val="CoverActName"/>
      </w:pPr>
      <w:r>
        <w:fldChar w:fldCharType="begin"/>
      </w:r>
      <w:r>
        <w:instrText xml:space="preserve"> REF ActName \*charformat </w:instrText>
      </w:r>
      <w:r>
        <w:fldChar w:fldCharType="separate"/>
      </w:r>
      <w:r w:rsidR="00CB35A8" w:rsidRPr="00CB35A8">
        <w:t>Motor Accident Injuries Act 2019</w:t>
      </w:r>
      <w:r>
        <w:fldChar w:fldCharType="end"/>
      </w:r>
    </w:p>
    <w:p w14:paraId="1B2C2FD6" w14:textId="74E50E9F" w:rsidR="007D6735" w:rsidRDefault="007D6735" w:rsidP="007D6735">
      <w:pPr>
        <w:pStyle w:val="RepubNo"/>
      </w:pPr>
      <w:r>
        <w:t xml:space="preserve">Republication No </w:t>
      </w:r>
      <w:bookmarkStart w:id="2" w:name="RepubNo"/>
      <w:r w:rsidR="005F3B8A">
        <w:t>5</w:t>
      </w:r>
      <w:bookmarkEnd w:id="2"/>
    </w:p>
    <w:p w14:paraId="0933E5DC" w14:textId="7629D564" w:rsidR="007D6735" w:rsidRDefault="007D6735" w:rsidP="007D6735">
      <w:pPr>
        <w:pStyle w:val="EffectiveDate"/>
      </w:pPr>
      <w:r>
        <w:t xml:space="preserve">Effective:  </w:t>
      </w:r>
      <w:bookmarkStart w:id="3" w:name="EffectiveDate"/>
      <w:r w:rsidR="005F3B8A">
        <w:t>15 December 2023</w:t>
      </w:r>
      <w:bookmarkEnd w:id="3"/>
      <w:r w:rsidR="005F3B8A">
        <w:t xml:space="preserve"> – </w:t>
      </w:r>
      <w:bookmarkStart w:id="4" w:name="EndEffDate"/>
      <w:r w:rsidR="005F3B8A">
        <w:t>15 May 2025</w:t>
      </w:r>
      <w:bookmarkEnd w:id="4"/>
    </w:p>
    <w:p w14:paraId="2705D67B" w14:textId="095335BC" w:rsidR="007D6735" w:rsidRDefault="007D6735" w:rsidP="007D6735">
      <w:pPr>
        <w:pStyle w:val="CoverInForce"/>
      </w:pPr>
      <w:r>
        <w:t xml:space="preserve">Republication date: </w:t>
      </w:r>
      <w:bookmarkStart w:id="5" w:name="InForceDate"/>
      <w:r w:rsidR="005F3B8A">
        <w:t>15 December 2023</w:t>
      </w:r>
      <w:bookmarkEnd w:id="5"/>
    </w:p>
    <w:p w14:paraId="33853999" w14:textId="15308020" w:rsidR="007D6735" w:rsidRDefault="007D6735" w:rsidP="00CF52D3">
      <w:pPr>
        <w:pStyle w:val="CoverInForce"/>
      </w:pPr>
      <w:r>
        <w:t xml:space="preserve">Last amendment made by </w:t>
      </w:r>
      <w:bookmarkStart w:id="6" w:name="LastAmdt"/>
      <w:r w:rsidRPr="007D6735">
        <w:rPr>
          <w:rStyle w:val="charCitHyperlinkAbbrev"/>
        </w:rPr>
        <w:fldChar w:fldCharType="begin"/>
      </w:r>
      <w:r w:rsidR="005F3B8A">
        <w:rPr>
          <w:rStyle w:val="charCitHyperlinkAbbrev"/>
        </w:rPr>
        <w:instrText>HYPERLINK "http://www.legislation.act.gov.au/sl/2023-37/" \o "Motor Accident Injuries (Premiums and Administration) Amendment Regulation 2023 (No 1)"</w:instrText>
      </w:r>
      <w:r w:rsidRPr="007D6735">
        <w:rPr>
          <w:rStyle w:val="charCitHyperlinkAbbrev"/>
        </w:rPr>
      </w:r>
      <w:r w:rsidRPr="007D6735">
        <w:rPr>
          <w:rStyle w:val="charCitHyperlinkAbbrev"/>
        </w:rPr>
        <w:fldChar w:fldCharType="separate"/>
      </w:r>
      <w:r w:rsidR="005F3B8A">
        <w:rPr>
          <w:rStyle w:val="charCitHyperlinkAbbrev"/>
        </w:rPr>
        <w:t>SL2023</w:t>
      </w:r>
      <w:r w:rsidR="005F3B8A">
        <w:rPr>
          <w:rStyle w:val="charCitHyperlinkAbbrev"/>
        </w:rPr>
        <w:noBreakHyphen/>
        <w:t>37</w:t>
      </w:r>
      <w:r w:rsidRPr="007D6735">
        <w:rPr>
          <w:rStyle w:val="charCitHyperlinkAbbrev"/>
        </w:rPr>
        <w:fldChar w:fldCharType="end"/>
      </w:r>
      <w:bookmarkEnd w:id="6"/>
    </w:p>
    <w:p w14:paraId="276941D4" w14:textId="77777777" w:rsidR="007D6735" w:rsidRDefault="007D6735" w:rsidP="007D6735"/>
    <w:p w14:paraId="0C0F2202" w14:textId="77777777" w:rsidR="007D6735" w:rsidRDefault="007D6735" w:rsidP="007D6735">
      <w:pPr>
        <w:spacing w:after="240"/>
        <w:rPr>
          <w:rFonts w:ascii="Arial" w:hAnsi="Arial"/>
        </w:rPr>
      </w:pPr>
    </w:p>
    <w:p w14:paraId="3B985ED9" w14:textId="77777777" w:rsidR="007D6735" w:rsidRPr="00797332" w:rsidRDefault="007D6735" w:rsidP="007D6735">
      <w:pPr>
        <w:pStyle w:val="PageBreak"/>
      </w:pPr>
      <w:r w:rsidRPr="00797332">
        <w:br w:type="page"/>
      </w:r>
    </w:p>
    <w:bookmarkEnd w:id="0"/>
    <w:p w14:paraId="5F7B868B" w14:textId="77777777" w:rsidR="007D6735" w:rsidRDefault="007D6735" w:rsidP="007D6735">
      <w:pPr>
        <w:pStyle w:val="CoverHeading"/>
      </w:pPr>
      <w:r>
        <w:lastRenderedPageBreak/>
        <w:t>About this republication</w:t>
      </w:r>
    </w:p>
    <w:p w14:paraId="20E568ED" w14:textId="77777777" w:rsidR="007D6735" w:rsidRDefault="007D6735" w:rsidP="007D6735">
      <w:pPr>
        <w:pStyle w:val="CoverSubHdg"/>
      </w:pPr>
      <w:r>
        <w:t>The republished law</w:t>
      </w:r>
    </w:p>
    <w:p w14:paraId="1BF70B31" w14:textId="0B2CA30D" w:rsidR="007D6735" w:rsidRDefault="007D6735" w:rsidP="007D6735">
      <w:pPr>
        <w:pStyle w:val="CoverText"/>
      </w:pPr>
      <w:r>
        <w:t xml:space="preserve">This is a republication of the </w:t>
      </w:r>
      <w:r w:rsidRPr="005F3B8A">
        <w:rPr>
          <w:i/>
        </w:rPr>
        <w:fldChar w:fldCharType="begin"/>
      </w:r>
      <w:r w:rsidRPr="005F3B8A">
        <w:rPr>
          <w:i/>
        </w:rPr>
        <w:instrText xml:space="preserve"> REF citation *\charformat  \* MERGEFORMAT </w:instrText>
      </w:r>
      <w:r w:rsidRPr="005F3B8A">
        <w:rPr>
          <w:i/>
        </w:rPr>
        <w:fldChar w:fldCharType="separate"/>
      </w:r>
      <w:r w:rsidR="00CB35A8" w:rsidRPr="00CB35A8">
        <w:rPr>
          <w:i/>
        </w:rPr>
        <w:t>Motor Accident Injuries (Premiums and Administration) Regulation 2019</w:t>
      </w:r>
      <w:r w:rsidRPr="005F3B8A">
        <w:rPr>
          <w:i/>
        </w:rPr>
        <w:fldChar w:fldCharType="end"/>
      </w:r>
      <w:r>
        <w:rPr>
          <w:iCs/>
        </w:rPr>
        <w:t>,</w:t>
      </w:r>
      <w:r>
        <w:t xml:space="preserve"> made under the </w:t>
      </w:r>
      <w:r w:rsidRPr="005F3B8A">
        <w:rPr>
          <w:i/>
        </w:rPr>
        <w:fldChar w:fldCharType="begin"/>
      </w:r>
      <w:r w:rsidRPr="005F3B8A">
        <w:rPr>
          <w:i/>
        </w:rPr>
        <w:instrText xml:space="preserve"> REF ActName \*charformat  \* MERGEFORMAT </w:instrText>
      </w:r>
      <w:r w:rsidRPr="005F3B8A">
        <w:rPr>
          <w:i/>
        </w:rPr>
        <w:fldChar w:fldCharType="separate"/>
      </w:r>
      <w:r w:rsidR="00CB35A8" w:rsidRPr="00CB35A8">
        <w:rPr>
          <w:i/>
        </w:rPr>
        <w:t>Motor Accident Injuries Act 2019</w:t>
      </w:r>
      <w:r w:rsidRPr="005F3B8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A973EB">
        <w:fldChar w:fldCharType="begin"/>
      </w:r>
      <w:r w:rsidR="00A973EB">
        <w:instrText xml:space="preserve"> REF InForceDate *\charformat </w:instrText>
      </w:r>
      <w:r w:rsidR="00A973EB">
        <w:fldChar w:fldCharType="separate"/>
      </w:r>
      <w:r w:rsidR="00CB35A8">
        <w:t>15 December 2023</w:t>
      </w:r>
      <w:r w:rsidR="00A973EB">
        <w:fldChar w:fldCharType="end"/>
      </w:r>
      <w:r w:rsidRPr="003D214E">
        <w:rPr>
          <w:rStyle w:val="charItals"/>
        </w:rPr>
        <w:t xml:space="preserve">.  </w:t>
      </w:r>
      <w:r>
        <w:t xml:space="preserve">It also includes any commencement, amendment, repeal or expiry affecting this republished law to </w:t>
      </w:r>
      <w:r w:rsidR="00A973EB">
        <w:fldChar w:fldCharType="begin"/>
      </w:r>
      <w:r w:rsidR="00A973EB">
        <w:instrText xml:space="preserve"> REF EffectiveDate *\charformat </w:instrText>
      </w:r>
      <w:r w:rsidR="00A973EB">
        <w:fldChar w:fldCharType="separate"/>
      </w:r>
      <w:r w:rsidR="00CB35A8">
        <w:t>15 December 2023</w:t>
      </w:r>
      <w:r w:rsidR="00A973EB">
        <w:fldChar w:fldCharType="end"/>
      </w:r>
      <w:r>
        <w:t xml:space="preserve">.  </w:t>
      </w:r>
    </w:p>
    <w:p w14:paraId="6F750807" w14:textId="77777777" w:rsidR="007D6735" w:rsidRDefault="007D6735" w:rsidP="007D6735">
      <w:pPr>
        <w:pStyle w:val="CoverText"/>
      </w:pPr>
      <w:r>
        <w:t xml:space="preserve">The legislation history and amendment history of the republished law are set out in endnotes 3 and 4. </w:t>
      </w:r>
    </w:p>
    <w:p w14:paraId="77C1DB57" w14:textId="77777777" w:rsidR="007D6735" w:rsidRDefault="007D6735" w:rsidP="007D6735">
      <w:pPr>
        <w:pStyle w:val="CoverSubHdg"/>
      </w:pPr>
      <w:r>
        <w:t>Kinds of republications</w:t>
      </w:r>
    </w:p>
    <w:p w14:paraId="6308A0E6" w14:textId="6ED99EDE" w:rsidR="007D6735" w:rsidRDefault="007D6735" w:rsidP="007D6735">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D1180FA" w14:textId="6C4419BD" w:rsidR="007D6735" w:rsidRDefault="007D6735" w:rsidP="007D6735">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038DE678" w14:textId="77777777" w:rsidR="007D6735" w:rsidRDefault="007D6735" w:rsidP="007D6735">
      <w:pPr>
        <w:pStyle w:val="CoverTextBullet"/>
      </w:pPr>
      <w:r>
        <w:t>unauthorised republications.</w:t>
      </w:r>
    </w:p>
    <w:p w14:paraId="75CF2F6E" w14:textId="77777777" w:rsidR="007D6735" w:rsidRDefault="007D6735" w:rsidP="007D6735">
      <w:pPr>
        <w:pStyle w:val="CoverText"/>
      </w:pPr>
      <w:r>
        <w:t>The status of this republication appears on the bottom of each page.</w:t>
      </w:r>
    </w:p>
    <w:p w14:paraId="285B84C0" w14:textId="77777777" w:rsidR="007D6735" w:rsidRDefault="007D6735" w:rsidP="007D6735">
      <w:pPr>
        <w:pStyle w:val="CoverSubHdg"/>
      </w:pPr>
      <w:r>
        <w:t>Editorial changes</w:t>
      </w:r>
    </w:p>
    <w:p w14:paraId="5A0081E8" w14:textId="625A9BD7" w:rsidR="007D6735" w:rsidRDefault="007D6735" w:rsidP="007D6735">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084780C" w14:textId="79B26F7F" w:rsidR="007D6735" w:rsidRDefault="007D6735" w:rsidP="007D6735">
      <w:pPr>
        <w:pStyle w:val="CoverText"/>
      </w:pPr>
      <w:r>
        <w:t>This republication</w:t>
      </w:r>
      <w:r w:rsidR="00B535ED">
        <w:t xml:space="preserve"> </w:t>
      </w:r>
      <w:r w:rsidR="006065F2">
        <w:t xml:space="preserve">does not </w:t>
      </w:r>
      <w:r>
        <w:t>include amendments made under part 11.3 (see endnote 1).</w:t>
      </w:r>
    </w:p>
    <w:p w14:paraId="3A9925B2" w14:textId="77777777" w:rsidR="007D6735" w:rsidRDefault="007D6735" w:rsidP="007D6735">
      <w:pPr>
        <w:pStyle w:val="CoverSubHdg"/>
      </w:pPr>
      <w:r>
        <w:t>Uncommenced provisions and amendments</w:t>
      </w:r>
    </w:p>
    <w:p w14:paraId="204802E5" w14:textId="6EBFC90A" w:rsidR="007D6735" w:rsidRDefault="007D6735" w:rsidP="007D673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05A3CDE2" w14:textId="77777777" w:rsidR="007D6735" w:rsidRDefault="007D6735" w:rsidP="007D6735">
      <w:pPr>
        <w:pStyle w:val="CoverSubHdg"/>
      </w:pPr>
      <w:r>
        <w:t>Modifications</w:t>
      </w:r>
    </w:p>
    <w:p w14:paraId="781DFD89" w14:textId="16C99426" w:rsidR="007D6735" w:rsidRDefault="007D6735" w:rsidP="007D673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19477F1" w14:textId="77777777" w:rsidR="007D6735" w:rsidRDefault="007D6735" w:rsidP="007D6735">
      <w:pPr>
        <w:pStyle w:val="CoverSubHdg"/>
      </w:pPr>
      <w:r>
        <w:t>Penalties</w:t>
      </w:r>
    </w:p>
    <w:p w14:paraId="27CA261A" w14:textId="4ED49AC0" w:rsidR="007D6735" w:rsidRPr="003765DF" w:rsidRDefault="007D6735" w:rsidP="007D6735">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1248D36" w14:textId="77777777" w:rsidR="007D6735" w:rsidRDefault="007D6735" w:rsidP="007D6735">
      <w:pPr>
        <w:pStyle w:val="00SigningPage"/>
        <w:sectPr w:rsidR="007D6735" w:rsidSect="007D673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24A1B52" w14:textId="77777777" w:rsidR="007D6735" w:rsidRDefault="007D6735" w:rsidP="007D6735">
      <w:pPr>
        <w:jc w:val="center"/>
      </w:pPr>
      <w:r>
        <w:rPr>
          <w:noProof/>
          <w:lang w:eastAsia="en-AU"/>
        </w:rPr>
        <w:lastRenderedPageBreak/>
        <w:drawing>
          <wp:inline distT="0" distB="0" distL="0" distR="0" wp14:anchorId="4C0197B5" wp14:editId="7425C9EE">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006F64D" w14:textId="77777777" w:rsidR="007D6735" w:rsidRDefault="007D6735" w:rsidP="007D6735">
      <w:pPr>
        <w:jc w:val="center"/>
        <w:rPr>
          <w:rFonts w:ascii="Arial" w:hAnsi="Arial"/>
        </w:rPr>
      </w:pPr>
      <w:r>
        <w:rPr>
          <w:rFonts w:ascii="Arial" w:hAnsi="Arial"/>
        </w:rPr>
        <w:t>Australian Capital Territory</w:t>
      </w:r>
    </w:p>
    <w:p w14:paraId="1623B5D3" w14:textId="133F9CC1" w:rsidR="007D6735" w:rsidRDefault="00A973EB" w:rsidP="007D6735">
      <w:pPr>
        <w:pStyle w:val="Billname"/>
      </w:pPr>
      <w:r>
        <w:fldChar w:fldCharType="begin"/>
      </w:r>
      <w:r>
        <w:instrText xml:space="preserve"> REF Citation \*charformat  \* MERGEFORMAT </w:instrText>
      </w:r>
      <w:r>
        <w:fldChar w:fldCharType="separate"/>
      </w:r>
      <w:r w:rsidR="00CB35A8">
        <w:t>Motor Accident Injuries (Premiums and Administration) Regulation 2019</w:t>
      </w:r>
      <w:r>
        <w:fldChar w:fldCharType="end"/>
      </w:r>
    </w:p>
    <w:p w14:paraId="73032EEC" w14:textId="77777777" w:rsidR="007D6735" w:rsidRDefault="007D6735" w:rsidP="007D6735">
      <w:pPr>
        <w:pStyle w:val="CoverInForce"/>
      </w:pPr>
      <w:r>
        <w:t>made under the</w:t>
      </w:r>
    </w:p>
    <w:p w14:paraId="5C2C1AAE" w14:textId="49BA39D0" w:rsidR="007D6735" w:rsidRDefault="00A973EB" w:rsidP="007D6735">
      <w:pPr>
        <w:pStyle w:val="CoverActName"/>
      </w:pPr>
      <w:r>
        <w:fldChar w:fldCharType="begin"/>
      </w:r>
      <w:r>
        <w:instrText xml:space="preserve"> REF ActName \*charformat </w:instrText>
      </w:r>
      <w:r>
        <w:fldChar w:fldCharType="separate"/>
      </w:r>
      <w:r w:rsidR="00CB35A8" w:rsidRPr="00CB35A8">
        <w:t>Motor Accident Injuries Act 2019</w:t>
      </w:r>
      <w:r>
        <w:fldChar w:fldCharType="end"/>
      </w:r>
    </w:p>
    <w:p w14:paraId="2308644C" w14:textId="77777777" w:rsidR="007D6735" w:rsidRDefault="007D6735" w:rsidP="007D6735">
      <w:pPr>
        <w:pStyle w:val="Placeholder"/>
      </w:pPr>
      <w:r>
        <w:rPr>
          <w:rStyle w:val="charContents"/>
          <w:sz w:val="16"/>
        </w:rPr>
        <w:t xml:space="preserve">  </w:t>
      </w:r>
      <w:r>
        <w:rPr>
          <w:rStyle w:val="charPage"/>
        </w:rPr>
        <w:t xml:space="preserve">  </w:t>
      </w:r>
    </w:p>
    <w:p w14:paraId="13FC7E58" w14:textId="77777777" w:rsidR="007D6735" w:rsidRDefault="007D6735" w:rsidP="007D6735">
      <w:pPr>
        <w:pStyle w:val="N-TOCheading"/>
      </w:pPr>
      <w:r>
        <w:rPr>
          <w:rStyle w:val="charContents"/>
        </w:rPr>
        <w:t>Contents</w:t>
      </w:r>
    </w:p>
    <w:p w14:paraId="5887BB6D" w14:textId="77777777" w:rsidR="007D6735" w:rsidRDefault="007D6735" w:rsidP="007D6735">
      <w:pPr>
        <w:pStyle w:val="N-9pt"/>
      </w:pPr>
      <w:r>
        <w:tab/>
      </w:r>
      <w:r>
        <w:rPr>
          <w:rStyle w:val="charPage"/>
        </w:rPr>
        <w:t>Page</w:t>
      </w:r>
    </w:p>
    <w:p w14:paraId="70730D97" w14:textId="6C23508F" w:rsidR="009F0332" w:rsidRDefault="009F033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373678" w:history="1">
        <w:r w:rsidRPr="00563E6C">
          <w:t>Part 1</w:t>
        </w:r>
        <w:r>
          <w:rPr>
            <w:rFonts w:asciiTheme="minorHAnsi" w:eastAsiaTheme="minorEastAsia" w:hAnsiTheme="minorHAnsi" w:cstheme="minorBidi"/>
            <w:b w:val="0"/>
            <w:kern w:val="2"/>
            <w:sz w:val="22"/>
            <w:szCs w:val="22"/>
            <w:lang w:eastAsia="en-AU"/>
            <w14:ligatures w14:val="standardContextual"/>
          </w:rPr>
          <w:tab/>
        </w:r>
        <w:r w:rsidRPr="00563E6C">
          <w:t>Preliminary</w:t>
        </w:r>
        <w:r w:rsidRPr="009F0332">
          <w:rPr>
            <w:vanish/>
          </w:rPr>
          <w:tab/>
        </w:r>
        <w:r w:rsidRPr="009F0332">
          <w:rPr>
            <w:vanish/>
          </w:rPr>
          <w:fldChar w:fldCharType="begin"/>
        </w:r>
        <w:r w:rsidRPr="009F0332">
          <w:rPr>
            <w:vanish/>
          </w:rPr>
          <w:instrText xml:space="preserve"> PAGEREF _Toc153373678 \h </w:instrText>
        </w:r>
        <w:r w:rsidRPr="009F0332">
          <w:rPr>
            <w:vanish/>
          </w:rPr>
        </w:r>
        <w:r w:rsidRPr="009F0332">
          <w:rPr>
            <w:vanish/>
          </w:rPr>
          <w:fldChar w:fldCharType="separate"/>
        </w:r>
        <w:r w:rsidR="00CB35A8">
          <w:rPr>
            <w:vanish/>
          </w:rPr>
          <w:t>2</w:t>
        </w:r>
        <w:r w:rsidRPr="009F0332">
          <w:rPr>
            <w:vanish/>
          </w:rPr>
          <w:fldChar w:fldCharType="end"/>
        </w:r>
      </w:hyperlink>
    </w:p>
    <w:p w14:paraId="08DD4754" w14:textId="38B5FDC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79" w:history="1">
        <w:r w:rsidRPr="00563E6C">
          <w:t>1</w:t>
        </w:r>
        <w:r>
          <w:rPr>
            <w:rFonts w:asciiTheme="minorHAnsi" w:eastAsiaTheme="minorEastAsia" w:hAnsiTheme="minorHAnsi" w:cstheme="minorBidi"/>
            <w:kern w:val="2"/>
            <w:sz w:val="22"/>
            <w:szCs w:val="22"/>
            <w:lang w:eastAsia="en-AU"/>
            <w14:ligatures w14:val="standardContextual"/>
          </w:rPr>
          <w:tab/>
        </w:r>
        <w:r w:rsidRPr="00563E6C">
          <w:t>Name of regulation</w:t>
        </w:r>
        <w:r>
          <w:tab/>
        </w:r>
        <w:r>
          <w:fldChar w:fldCharType="begin"/>
        </w:r>
        <w:r>
          <w:instrText xml:space="preserve"> PAGEREF _Toc153373679 \h </w:instrText>
        </w:r>
        <w:r>
          <w:fldChar w:fldCharType="separate"/>
        </w:r>
        <w:r w:rsidR="00CB35A8">
          <w:t>2</w:t>
        </w:r>
        <w:r>
          <w:fldChar w:fldCharType="end"/>
        </w:r>
      </w:hyperlink>
    </w:p>
    <w:p w14:paraId="2C062387" w14:textId="4D3DF261"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0" w:history="1">
        <w:r w:rsidRPr="00563E6C">
          <w:t>3</w:t>
        </w:r>
        <w:r>
          <w:rPr>
            <w:rFonts w:asciiTheme="minorHAnsi" w:eastAsiaTheme="minorEastAsia" w:hAnsiTheme="minorHAnsi" w:cstheme="minorBidi"/>
            <w:kern w:val="2"/>
            <w:sz w:val="22"/>
            <w:szCs w:val="22"/>
            <w:lang w:eastAsia="en-AU"/>
            <w14:ligatures w14:val="standardContextual"/>
          </w:rPr>
          <w:tab/>
        </w:r>
        <w:r w:rsidRPr="00563E6C">
          <w:t>Dictionary</w:t>
        </w:r>
        <w:r>
          <w:tab/>
        </w:r>
        <w:r>
          <w:fldChar w:fldCharType="begin"/>
        </w:r>
        <w:r>
          <w:instrText xml:space="preserve"> PAGEREF _Toc153373680 \h </w:instrText>
        </w:r>
        <w:r>
          <w:fldChar w:fldCharType="separate"/>
        </w:r>
        <w:r w:rsidR="00CB35A8">
          <w:t>2</w:t>
        </w:r>
        <w:r>
          <w:fldChar w:fldCharType="end"/>
        </w:r>
      </w:hyperlink>
    </w:p>
    <w:p w14:paraId="028DCCDC" w14:textId="75469B52"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1" w:history="1">
        <w:r w:rsidRPr="00563E6C">
          <w:t>4</w:t>
        </w:r>
        <w:r>
          <w:rPr>
            <w:rFonts w:asciiTheme="minorHAnsi" w:eastAsiaTheme="minorEastAsia" w:hAnsiTheme="minorHAnsi" w:cstheme="minorBidi"/>
            <w:kern w:val="2"/>
            <w:sz w:val="22"/>
            <w:szCs w:val="22"/>
            <w:lang w:eastAsia="en-AU"/>
            <w14:ligatures w14:val="standardContextual"/>
          </w:rPr>
          <w:tab/>
        </w:r>
        <w:r w:rsidRPr="00563E6C">
          <w:t>Notes</w:t>
        </w:r>
        <w:r>
          <w:tab/>
        </w:r>
        <w:r>
          <w:fldChar w:fldCharType="begin"/>
        </w:r>
        <w:r>
          <w:instrText xml:space="preserve"> PAGEREF _Toc153373681 \h </w:instrText>
        </w:r>
        <w:r>
          <w:fldChar w:fldCharType="separate"/>
        </w:r>
        <w:r w:rsidR="00CB35A8">
          <w:t>2</w:t>
        </w:r>
        <w:r>
          <w:fldChar w:fldCharType="end"/>
        </w:r>
      </w:hyperlink>
    </w:p>
    <w:p w14:paraId="14F8CD18" w14:textId="0D39C40F"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2" w:history="1">
        <w:r w:rsidRPr="00563E6C">
          <w:t>5</w:t>
        </w:r>
        <w:r>
          <w:rPr>
            <w:rFonts w:asciiTheme="minorHAnsi" w:eastAsiaTheme="minorEastAsia" w:hAnsiTheme="minorHAnsi" w:cstheme="minorBidi"/>
            <w:kern w:val="2"/>
            <w:sz w:val="22"/>
            <w:szCs w:val="22"/>
            <w:lang w:eastAsia="en-AU"/>
            <w14:ligatures w14:val="standardContextual"/>
          </w:rPr>
          <w:tab/>
        </w:r>
        <w:r w:rsidRPr="00563E6C">
          <w:t>Offences against regulation—application of Criminal Code etc</w:t>
        </w:r>
        <w:r>
          <w:tab/>
        </w:r>
        <w:r>
          <w:fldChar w:fldCharType="begin"/>
        </w:r>
        <w:r>
          <w:instrText xml:space="preserve"> PAGEREF _Toc153373682 \h </w:instrText>
        </w:r>
        <w:r>
          <w:fldChar w:fldCharType="separate"/>
        </w:r>
        <w:r w:rsidR="00CB35A8">
          <w:t>3</w:t>
        </w:r>
        <w:r>
          <w:fldChar w:fldCharType="end"/>
        </w:r>
      </w:hyperlink>
    </w:p>
    <w:p w14:paraId="27E0DBE7" w14:textId="696E5CBA"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83" w:history="1">
        <w:r w:rsidRPr="00563E6C">
          <w:t>Part 2</w:t>
        </w:r>
        <w:r>
          <w:rPr>
            <w:rFonts w:asciiTheme="minorHAnsi" w:eastAsiaTheme="minorEastAsia" w:hAnsiTheme="minorHAnsi" w:cstheme="minorBidi"/>
            <w:b w:val="0"/>
            <w:kern w:val="2"/>
            <w:sz w:val="22"/>
            <w:szCs w:val="22"/>
            <w:lang w:eastAsia="en-AU"/>
            <w14:ligatures w14:val="standardContextual"/>
          </w:rPr>
          <w:tab/>
        </w:r>
        <w:r w:rsidRPr="00563E6C">
          <w:t>Important concepts</w:t>
        </w:r>
        <w:r w:rsidRPr="009F0332">
          <w:rPr>
            <w:vanish/>
          </w:rPr>
          <w:tab/>
        </w:r>
        <w:r w:rsidRPr="009F0332">
          <w:rPr>
            <w:vanish/>
          </w:rPr>
          <w:fldChar w:fldCharType="begin"/>
        </w:r>
        <w:r w:rsidRPr="009F0332">
          <w:rPr>
            <w:vanish/>
          </w:rPr>
          <w:instrText xml:space="preserve"> PAGEREF _Toc153373683 \h </w:instrText>
        </w:r>
        <w:r w:rsidRPr="009F0332">
          <w:rPr>
            <w:vanish/>
          </w:rPr>
        </w:r>
        <w:r w:rsidRPr="009F0332">
          <w:rPr>
            <w:vanish/>
          </w:rPr>
          <w:fldChar w:fldCharType="separate"/>
        </w:r>
        <w:r w:rsidR="00CB35A8">
          <w:rPr>
            <w:vanish/>
          </w:rPr>
          <w:t>4</w:t>
        </w:r>
        <w:r w:rsidRPr="009F0332">
          <w:rPr>
            <w:vanish/>
          </w:rPr>
          <w:fldChar w:fldCharType="end"/>
        </w:r>
      </w:hyperlink>
    </w:p>
    <w:p w14:paraId="7860F0A6" w14:textId="6E178EF7"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4" w:history="1">
        <w:r w:rsidRPr="00563E6C">
          <w:t>6</w:t>
        </w:r>
        <w:r>
          <w:rPr>
            <w:rFonts w:asciiTheme="minorHAnsi" w:eastAsiaTheme="minorEastAsia" w:hAnsiTheme="minorHAnsi" w:cstheme="minorBidi"/>
            <w:kern w:val="2"/>
            <w:sz w:val="22"/>
            <w:szCs w:val="22"/>
            <w:lang w:eastAsia="en-AU"/>
            <w14:ligatures w14:val="standardContextual"/>
          </w:rPr>
          <w:tab/>
        </w:r>
        <w:r w:rsidRPr="00563E6C">
          <w:t xml:space="preserve">Average weekly earnings series—Act, s 17, def </w:t>
        </w:r>
        <w:r w:rsidRPr="00563E6C">
          <w:rPr>
            <w:i/>
          </w:rPr>
          <w:t>average weekly earnings</w:t>
        </w:r>
        <w:r>
          <w:tab/>
        </w:r>
        <w:r>
          <w:fldChar w:fldCharType="begin"/>
        </w:r>
        <w:r>
          <w:instrText xml:space="preserve"> PAGEREF _Toc153373684 \h </w:instrText>
        </w:r>
        <w:r>
          <w:fldChar w:fldCharType="separate"/>
        </w:r>
        <w:r w:rsidR="00CB35A8">
          <w:t>4</w:t>
        </w:r>
        <w:r>
          <w:fldChar w:fldCharType="end"/>
        </w:r>
      </w:hyperlink>
    </w:p>
    <w:p w14:paraId="39FD184D" w14:textId="2AC6E9C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5" w:history="1">
        <w:r w:rsidRPr="00563E6C">
          <w:t>7</w:t>
        </w:r>
        <w:r>
          <w:rPr>
            <w:rFonts w:asciiTheme="minorHAnsi" w:eastAsiaTheme="minorEastAsia" w:hAnsiTheme="minorHAnsi" w:cstheme="minorBidi"/>
            <w:kern w:val="2"/>
            <w:sz w:val="22"/>
            <w:szCs w:val="22"/>
            <w:lang w:eastAsia="en-AU"/>
            <w14:ligatures w14:val="standardContextual"/>
          </w:rPr>
          <w:tab/>
        </w:r>
        <w:r w:rsidRPr="00563E6C">
          <w:t xml:space="preserve">Indexation day—Act, s 18, def </w:t>
        </w:r>
        <w:r w:rsidRPr="00563E6C">
          <w:rPr>
            <w:i/>
          </w:rPr>
          <w:t>AWE indexed</w:t>
        </w:r>
        <w:r w:rsidRPr="00563E6C">
          <w:t>, par (b)</w:t>
        </w:r>
        <w:r>
          <w:tab/>
        </w:r>
        <w:r>
          <w:fldChar w:fldCharType="begin"/>
        </w:r>
        <w:r>
          <w:instrText xml:space="preserve"> PAGEREF _Toc153373685 \h </w:instrText>
        </w:r>
        <w:r>
          <w:fldChar w:fldCharType="separate"/>
        </w:r>
        <w:r w:rsidR="00CB35A8">
          <w:t>4</w:t>
        </w:r>
        <w:r>
          <w:fldChar w:fldCharType="end"/>
        </w:r>
      </w:hyperlink>
    </w:p>
    <w:p w14:paraId="3D9A0F86" w14:textId="6D30D07C"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6" w:history="1">
        <w:r w:rsidRPr="00563E6C">
          <w:t>8</w:t>
        </w:r>
        <w:r>
          <w:rPr>
            <w:rFonts w:asciiTheme="minorHAnsi" w:eastAsiaTheme="minorEastAsia" w:hAnsiTheme="minorHAnsi" w:cstheme="minorBidi"/>
            <w:kern w:val="2"/>
            <w:sz w:val="22"/>
            <w:szCs w:val="22"/>
            <w:lang w:eastAsia="en-AU"/>
            <w14:ligatures w14:val="standardContextual"/>
          </w:rPr>
          <w:tab/>
        </w:r>
        <w:r w:rsidRPr="00563E6C">
          <w:t xml:space="preserve">AWE indexation factor—income replacement benefits—Act, s 19 (3), def </w:t>
        </w:r>
        <w:r w:rsidRPr="00563E6C">
          <w:rPr>
            <w:i/>
          </w:rPr>
          <w:t>AWE indexation factor</w:t>
        </w:r>
        <w:r>
          <w:tab/>
        </w:r>
        <w:r>
          <w:fldChar w:fldCharType="begin"/>
        </w:r>
        <w:r>
          <w:instrText xml:space="preserve"> PAGEREF _Toc153373686 \h </w:instrText>
        </w:r>
        <w:r>
          <w:fldChar w:fldCharType="separate"/>
        </w:r>
        <w:r w:rsidR="00CB35A8">
          <w:t>5</w:t>
        </w:r>
        <w:r>
          <w:fldChar w:fldCharType="end"/>
        </w:r>
      </w:hyperlink>
    </w:p>
    <w:p w14:paraId="5A526171" w14:textId="164F6AF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7" w:history="1">
        <w:r w:rsidRPr="00563E6C">
          <w:t>9</w:t>
        </w:r>
        <w:r>
          <w:rPr>
            <w:rFonts w:asciiTheme="minorHAnsi" w:eastAsiaTheme="minorEastAsia" w:hAnsiTheme="minorHAnsi" w:cstheme="minorBidi"/>
            <w:kern w:val="2"/>
            <w:sz w:val="22"/>
            <w:szCs w:val="22"/>
            <w:lang w:eastAsia="en-AU"/>
            <w14:ligatures w14:val="standardContextual"/>
          </w:rPr>
          <w:tab/>
        </w:r>
        <w:r w:rsidRPr="00563E6C">
          <w:t xml:space="preserve">AWE indexation factor—amounts indexed annually—Act, s 19 (3), def </w:t>
        </w:r>
        <w:r w:rsidRPr="00563E6C">
          <w:rPr>
            <w:i/>
          </w:rPr>
          <w:t>AWE indexation factor</w:t>
        </w:r>
        <w:r>
          <w:tab/>
        </w:r>
        <w:r>
          <w:fldChar w:fldCharType="begin"/>
        </w:r>
        <w:r>
          <w:instrText xml:space="preserve"> PAGEREF _Toc153373687 \h </w:instrText>
        </w:r>
        <w:r>
          <w:fldChar w:fldCharType="separate"/>
        </w:r>
        <w:r w:rsidR="00CB35A8">
          <w:t>7</w:t>
        </w:r>
        <w:r>
          <w:fldChar w:fldCharType="end"/>
        </w:r>
      </w:hyperlink>
    </w:p>
    <w:p w14:paraId="25711D1F" w14:textId="74B4390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8" w:history="1">
        <w:r w:rsidRPr="00563E6C">
          <w:t>10</w:t>
        </w:r>
        <w:r>
          <w:rPr>
            <w:rFonts w:asciiTheme="minorHAnsi" w:eastAsiaTheme="minorEastAsia" w:hAnsiTheme="minorHAnsi" w:cstheme="minorBidi"/>
            <w:kern w:val="2"/>
            <w:sz w:val="22"/>
            <w:szCs w:val="22"/>
            <w:lang w:eastAsia="en-AU"/>
            <w14:ligatures w14:val="standardContextual"/>
          </w:rPr>
          <w:tab/>
        </w:r>
        <w:r w:rsidRPr="00563E6C">
          <w:t xml:space="preserve">Adjustment day—Act, s 94 (1), def </w:t>
        </w:r>
        <w:r w:rsidRPr="00563E6C">
          <w:rPr>
            <w:i/>
          </w:rPr>
          <w:t>AWE adjusted</w:t>
        </w:r>
        <w:r w:rsidRPr="00563E6C">
          <w:t>, par (b)</w:t>
        </w:r>
        <w:r>
          <w:tab/>
        </w:r>
        <w:r>
          <w:fldChar w:fldCharType="begin"/>
        </w:r>
        <w:r>
          <w:instrText xml:space="preserve"> PAGEREF _Toc153373688 \h </w:instrText>
        </w:r>
        <w:r>
          <w:fldChar w:fldCharType="separate"/>
        </w:r>
        <w:r w:rsidR="00CB35A8">
          <w:t>9</w:t>
        </w:r>
        <w:r>
          <w:fldChar w:fldCharType="end"/>
        </w:r>
      </w:hyperlink>
    </w:p>
    <w:p w14:paraId="7F76E568" w14:textId="101643AA"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89" w:history="1">
        <w:r w:rsidRPr="00563E6C">
          <w:t>11</w:t>
        </w:r>
        <w:r>
          <w:rPr>
            <w:rFonts w:asciiTheme="minorHAnsi" w:eastAsiaTheme="minorEastAsia" w:hAnsiTheme="minorHAnsi" w:cstheme="minorBidi"/>
            <w:kern w:val="2"/>
            <w:sz w:val="22"/>
            <w:szCs w:val="22"/>
            <w:lang w:eastAsia="en-AU"/>
            <w14:ligatures w14:val="standardContextual"/>
          </w:rPr>
          <w:tab/>
        </w:r>
        <w:r w:rsidRPr="00563E6C">
          <w:t xml:space="preserve">AWE adjustment factor—Act, s 95 (3), def </w:t>
        </w:r>
        <w:r w:rsidRPr="00563E6C">
          <w:rPr>
            <w:i/>
          </w:rPr>
          <w:t>AWE adjustment factor</w:t>
        </w:r>
        <w:r>
          <w:tab/>
        </w:r>
        <w:r>
          <w:fldChar w:fldCharType="begin"/>
        </w:r>
        <w:r>
          <w:instrText xml:space="preserve"> PAGEREF _Toc153373689 \h </w:instrText>
        </w:r>
        <w:r>
          <w:fldChar w:fldCharType="separate"/>
        </w:r>
        <w:r w:rsidR="00CB35A8">
          <w:t>9</w:t>
        </w:r>
        <w:r>
          <w:fldChar w:fldCharType="end"/>
        </w:r>
      </w:hyperlink>
    </w:p>
    <w:p w14:paraId="0F4BBB00" w14:textId="2F26B3E5"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90" w:history="1">
        <w:r w:rsidRPr="00563E6C">
          <w:t>Part 3</w:t>
        </w:r>
        <w:r>
          <w:rPr>
            <w:rFonts w:asciiTheme="minorHAnsi" w:eastAsiaTheme="minorEastAsia" w:hAnsiTheme="minorHAnsi" w:cstheme="minorBidi"/>
            <w:b w:val="0"/>
            <w:kern w:val="2"/>
            <w:sz w:val="22"/>
            <w:szCs w:val="22"/>
            <w:lang w:eastAsia="en-AU"/>
            <w14:ligatures w14:val="standardContextual"/>
          </w:rPr>
          <w:tab/>
        </w:r>
        <w:r w:rsidRPr="00563E6C">
          <w:t>Income replacement benefits</w:t>
        </w:r>
        <w:r w:rsidRPr="009F0332">
          <w:rPr>
            <w:vanish/>
          </w:rPr>
          <w:tab/>
        </w:r>
        <w:r w:rsidRPr="009F0332">
          <w:rPr>
            <w:vanish/>
          </w:rPr>
          <w:fldChar w:fldCharType="begin"/>
        </w:r>
        <w:r w:rsidRPr="009F0332">
          <w:rPr>
            <w:vanish/>
          </w:rPr>
          <w:instrText xml:space="preserve"> PAGEREF _Toc153373690 \h </w:instrText>
        </w:r>
        <w:r w:rsidRPr="009F0332">
          <w:rPr>
            <w:vanish/>
          </w:rPr>
        </w:r>
        <w:r w:rsidRPr="009F0332">
          <w:rPr>
            <w:vanish/>
          </w:rPr>
          <w:fldChar w:fldCharType="separate"/>
        </w:r>
        <w:r w:rsidR="00CB35A8">
          <w:rPr>
            <w:vanish/>
          </w:rPr>
          <w:t>11</w:t>
        </w:r>
        <w:r w:rsidRPr="009F0332">
          <w:rPr>
            <w:vanish/>
          </w:rPr>
          <w:fldChar w:fldCharType="end"/>
        </w:r>
      </w:hyperlink>
    </w:p>
    <w:p w14:paraId="675197FC" w14:textId="1DFCE706"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91" w:history="1">
        <w:r w:rsidRPr="00563E6C">
          <w:t>12</w:t>
        </w:r>
        <w:r>
          <w:rPr>
            <w:rFonts w:asciiTheme="minorHAnsi" w:eastAsiaTheme="minorEastAsia" w:hAnsiTheme="minorHAnsi" w:cstheme="minorBidi"/>
            <w:kern w:val="2"/>
            <w:sz w:val="22"/>
            <w:szCs w:val="22"/>
            <w:lang w:eastAsia="en-AU"/>
            <w14:ligatures w14:val="standardContextual"/>
          </w:rPr>
          <w:tab/>
        </w:r>
        <w:r w:rsidRPr="00563E6C">
          <w:t>Amount of interim weekly payment—prescribed percentage—Act, s 103 (3)</w:t>
        </w:r>
        <w:r>
          <w:tab/>
        </w:r>
        <w:r>
          <w:fldChar w:fldCharType="begin"/>
        </w:r>
        <w:r>
          <w:instrText xml:space="preserve"> PAGEREF _Toc153373691 \h </w:instrText>
        </w:r>
        <w:r>
          <w:fldChar w:fldCharType="separate"/>
        </w:r>
        <w:r w:rsidR="00CB35A8">
          <w:t>11</w:t>
        </w:r>
        <w:r>
          <w:fldChar w:fldCharType="end"/>
        </w:r>
      </w:hyperlink>
    </w:p>
    <w:p w14:paraId="40408619" w14:textId="10981F4F"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92" w:history="1">
        <w:r w:rsidRPr="00563E6C">
          <w:t>13</w:t>
        </w:r>
        <w:r>
          <w:rPr>
            <w:rFonts w:asciiTheme="minorHAnsi" w:eastAsiaTheme="minorEastAsia" w:hAnsiTheme="minorHAnsi" w:cstheme="minorBidi"/>
            <w:kern w:val="2"/>
            <w:sz w:val="22"/>
            <w:szCs w:val="22"/>
            <w:lang w:eastAsia="en-AU"/>
            <w14:ligatures w14:val="standardContextual"/>
          </w:rPr>
          <w:tab/>
        </w:r>
        <w:r w:rsidRPr="00563E6C">
          <w:t>Notice of changed circumstances—Act, s 106 (3)</w:t>
        </w:r>
        <w:r>
          <w:tab/>
        </w:r>
        <w:r>
          <w:fldChar w:fldCharType="begin"/>
        </w:r>
        <w:r>
          <w:instrText xml:space="preserve"> PAGEREF _Toc153373692 \h </w:instrText>
        </w:r>
        <w:r>
          <w:fldChar w:fldCharType="separate"/>
        </w:r>
        <w:r w:rsidR="00CB35A8">
          <w:t>11</w:t>
        </w:r>
        <w:r>
          <w:fldChar w:fldCharType="end"/>
        </w:r>
      </w:hyperlink>
    </w:p>
    <w:p w14:paraId="066547F9" w14:textId="0E15114D"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93" w:history="1">
        <w:r w:rsidRPr="00563E6C">
          <w:t>Part 3A</w:t>
        </w:r>
        <w:r>
          <w:rPr>
            <w:rFonts w:asciiTheme="minorHAnsi" w:eastAsiaTheme="minorEastAsia" w:hAnsiTheme="minorHAnsi" w:cstheme="minorBidi"/>
            <w:b w:val="0"/>
            <w:kern w:val="2"/>
            <w:sz w:val="22"/>
            <w:szCs w:val="22"/>
            <w:lang w:eastAsia="en-AU"/>
            <w14:ligatures w14:val="standardContextual"/>
          </w:rPr>
          <w:tab/>
        </w:r>
        <w:r w:rsidRPr="00563E6C">
          <w:t>Quality of life benefits</w:t>
        </w:r>
        <w:r w:rsidRPr="009F0332">
          <w:rPr>
            <w:vanish/>
          </w:rPr>
          <w:tab/>
        </w:r>
        <w:r w:rsidRPr="009F0332">
          <w:rPr>
            <w:vanish/>
          </w:rPr>
          <w:fldChar w:fldCharType="begin"/>
        </w:r>
        <w:r w:rsidRPr="009F0332">
          <w:rPr>
            <w:vanish/>
          </w:rPr>
          <w:instrText xml:space="preserve"> PAGEREF _Toc153373693 \h </w:instrText>
        </w:r>
        <w:r w:rsidRPr="009F0332">
          <w:rPr>
            <w:vanish/>
          </w:rPr>
        </w:r>
        <w:r w:rsidRPr="009F0332">
          <w:rPr>
            <w:vanish/>
          </w:rPr>
          <w:fldChar w:fldCharType="separate"/>
        </w:r>
        <w:r w:rsidR="00CB35A8">
          <w:rPr>
            <w:vanish/>
          </w:rPr>
          <w:t>12</w:t>
        </w:r>
        <w:r w:rsidRPr="009F0332">
          <w:rPr>
            <w:vanish/>
          </w:rPr>
          <w:fldChar w:fldCharType="end"/>
        </w:r>
      </w:hyperlink>
    </w:p>
    <w:p w14:paraId="7686DB98" w14:textId="5648588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94" w:history="1">
        <w:r w:rsidRPr="00563E6C">
          <w:t>13A</w:t>
        </w:r>
        <w:r>
          <w:rPr>
            <w:rFonts w:asciiTheme="minorHAnsi" w:eastAsiaTheme="minorEastAsia" w:hAnsiTheme="minorHAnsi" w:cstheme="minorBidi"/>
            <w:kern w:val="2"/>
            <w:sz w:val="22"/>
            <w:szCs w:val="22"/>
            <w:lang w:eastAsia="en-AU"/>
            <w14:ligatures w14:val="standardContextual"/>
          </w:rPr>
          <w:tab/>
        </w:r>
        <w:r w:rsidRPr="00563E6C">
          <w:t>WPI taken to be 10% in certain circumstances—prescribed requirements—Act, s 133 (1) (b) (i)</w:t>
        </w:r>
        <w:r>
          <w:tab/>
        </w:r>
        <w:r>
          <w:fldChar w:fldCharType="begin"/>
        </w:r>
        <w:r>
          <w:instrText xml:space="preserve"> PAGEREF _Toc153373694 \h </w:instrText>
        </w:r>
        <w:r>
          <w:fldChar w:fldCharType="separate"/>
        </w:r>
        <w:r w:rsidR="00CB35A8">
          <w:t>12</w:t>
        </w:r>
        <w:r>
          <w:fldChar w:fldCharType="end"/>
        </w:r>
      </w:hyperlink>
    </w:p>
    <w:p w14:paraId="2EA342A4" w14:textId="099D39A8"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95" w:history="1">
        <w:r w:rsidRPr="00563E6C">
          <w:t>Part 3B</w:t>
        </w:r>
        <w:r>
          <w:rPr>
            <w:rFonts w:asciiTheme="minorHAnsi" w:eastAsiaTheme="minorEastAsia" w:hAnsiTheme="minorHAnsi" w:cstheme="minorBidi"/>
            <w:b w:val="0"/>
            <w:kern w:val="2"/>
            <w:sz w:val="22"/>
            <w:szCs w:val="22"/>
            <w:lang w:eastAsia="en-AU"/>
            <w14:ligatures w14:val="standardContextual"/>
          </w:rPr>
          <w:tab/>
        </w:r>
        <w:r w:rsidRPr="00563E6C">
          <w:t>Medical treatment</w:t>
        </w:r>
        <w:r w:rsidRPr="009F0332">
          <w:rPr>
            <w:vanish/>
          </w:rPr>
          <w:tab/>
        </w:r>
        <w:r w:rsidRPr="009F0332">
          <w:rPr>
            <w:vanish/>
          </w:rPr>
          <w:fldChar w:fldCharType="begin"/>
        </w:r>
        <w:r w:rsidRPr="009F0332">
          <w:rPr>
            <w:vanish/>
          </w:rPr>
          <w:instrText xml:space="preserve"> PAGEREF _Toc153373695 \h </w:instrText>
        </w:r>
        <w:r w:rsidRPr="009F0332">
          <w:rPr>
            <w:vanish/>
          </w:rPr>
        </w:r>
        <w:r w:rsidRPr="009F0332">
          <w:rPr>
            <w:vanish/>
          </w:rPr>
          <w:fldChar w:fldCharType="separate"/>
        </w:r>
        <w:r w:rsidR="00CB35A8">
          <w:rPr>
            <w:vanish/>
          </w:rPr>
          <w:t>13</w:t>
        </w:r>
        <w:r w:rsidRPr="009F0332">
          <w:rPr>
            <w:vanish/>
          </w:rPr>
          <w:fldChar w:fldCharType="end"/>
        </w:r>
      </w:hyperlink>
    </w:p>
    <w:p w14:paraId="4840611F" w14:textId="3DFFAA05"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96" w:history="1">
        <w:r w:rsidRPr="00563E6C">
          <w:t>13B</w:t>
        </w:r>
        <w:r>
          <w:rPr>
            <w:rFonts w:asciiTheme="minorHAnsi" w:eastAsiaTheme="minorEastAsia" w:hAnsiTheme="minorHAnsi" w:cstheme="minorBidi"/>
            <w:kern w:val="2"/>
            <w:sz w:val="22"/>
            <w:szCs w:val="22"/>
            <w:lang w:eastAsia="en-AU"/>
            <w14:ligatures w14:val="standardContextual"/>
          </w:rPr>
          <w:tab/>
        </w:r>
        <w:r w:rsidRPr="00563E6C">
          <w:t xml:space="preserve">Medical treatment—Act, s 221, def </w:t>
        </w:r>
        <w:r w:rsidRPr="00563E6C">
          <w:rPr>
            <w:i/>
          </w:rPr>
          <w:t>medical treatment</w:t>
        </w:r>
        <w:r>
          <w:tab/>
        </w:r>
        <w:r>
          <w:fldChar w:fldCharType="begin"/>
        </w:r>
        <w:r>
          <w:instrText xml:space="preserve"> PAGEREF _Toc153373696 \h </w:instrText>
        </w:r>
        <w:r>
          <w:fldChar w:fldCharType="separate"/>
        </w:r>
        <w:r w:rsidR="00CB35A8">
          <w:t>13</w:t>
        </w:r>
        <w:r>
          <w:fldChar w:fldCharType="end"/>
        </w:r>
      </w:hyperlink>
    </w:p>
    <w:p w14:paraId="68DAD067" w14:textId="36B21D39"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97" w:history="1">
        <w:r w:rsidRPr="00563E6C">
          <w:t>Part 3C</w:t>
        </w:r>
        <w:r>
          <w:rPr>
            <w:rFonts w:asciiTheme="minorHAnsi" w:eastAsiaTheme="minorEastAsia" w:hAnsiTheme="minorHAnsi" w:cstheme="minorBidi"/>
            <w:b w:val="0"/>
            <w:kern w:val="2"/>
            <w:sz w:val="22"/>
            <w:szCs w:val="22"/>
            <w:lang w:eastAsia="en-AU"/>
            <w14:ligatures w14:val="standardContextual"/>
          </w:rPr>
          <w:tab/>
        </w:r>
        <w:r w:rsidRPr="00563E6C">
          <w:t>Motor accident claims</w:t>
        </w:r>
        <w:r w:rsidRPr="009F0332">
          <w:rPr>
            <w:vanish/>
          </w:rPr>
          <w:tab/>
        </w:r>
        <w:r w:rsidRPr="009F0332">
          <w:rPr>
            <w:vanish/>
          </w:rPr>
          <w:fldChar w:fldCharType="begin"/>
        </w:r>
        <w:r w:rsidRPr="009F0332">
          <w:rPr>
            <w:vanish/>
          </w:rPr>
          <w:instrText xml:space="preserve"> PAGEREF _Toc153373697 \h </w:instrText>
        </w:r>
        <w:r w:rsidRPr="009F0332">
          <w:rPr>
            <w:vanish/>
          </w:rPr>
        </w:r>
        <w:r w:rsidRPr="009F0332">
          <w:rPr>
            <w:vanish/>
          </w:rPr>
          <w:fldChar w:fldCharType="separate"/>
        </w:r>
        <w:r w:rsidR="00CB35A8">
          <w:rPr>
            <w:vanish/>
          </w:rPr>
          <w:t>14</w:t>
        </w:r>
        <w:r w:rsidRPr="009F0332">
          <w:rPr>
            <w:vanish/>
          </w:rPr>
          <w:fldChar w:fldCharType="end"/>
        </w:r>
      </w:hyperlink>
    </w:p>
    <w:p w14:paraId="2D7A0012" w14:textId="324EAD8D"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698" w:history="1">
        <w:r w:rsidRPr="00563E6C">
          <w:t>13C</w:t>
        </w:r>
        <w:r>
          <w:rPr>
            <w:rFonts w:asciiTheme="minorHAnsi" w:eastAsiaTheme="minorEastAsia" w:hAnsiTheme="minorHAnsi" w:cstheme="minorBidi"/>
            <w:kern w:val="2"/>
            <w:sz w:val="22"/>
            <w:szCs w:val="22"/>
            <w:lang w:eastAsia="en-AU"/>
            <w14:ligatures w14:val="standardContextual"/>
          </w:rPr>
          <w:tab/>
        </w:r>
        <w:r w:rsidRPr="00563E6C">
          <w:t>Mandatory final offer accepted—costs—Act, s 266 (2)</w:t>
        </w:r>
        <w:r>
          <w:tab/>
        </w:r>
        <w:r>
          <w:fldChar w:fldCharType="begin"/>
        </w:r>
        <w:r>
          <w:instrText xml:space="preserve"> PAGEREF _Toc153373698 \h </w:instrText>
        </w:r>
        <w:r>
          <w:fldChar w:fldCharType="separate"/>
        </w:r>
        <w:r w:rsidR="00CB35A8">
          <w:t>14</w:t>
        </w:r>
        <w:r>
          <w:fldChar w:fldCharType="end"/>
        </w:r>
      </w:hyperlink>
    </w:p>
    <w:p w14:paraId="3C6187A8" w14:textId="2822D2C4"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699" w:history="1">
        <w:r w:rsidRPr="00563E6C">
          <w:t>Part 4</w:t>
        </w:r>
        <w:r>
          <w:rPr>
            <w:rFonts w:asciiTheme="minorHAnsi" w:eastAsiaTheme="minorEastAsia" w:hAnsiTheme="minorHAnsi" w:cstheme="minorBidi"/>
            <w:b w:val="0"/>
            <w:kern w:val="2"/>
            <w:sz w:val="22"/>
            <w:szCs w:val="22"/>
            <w:lang w:eastAsia="en-AU"/>
            <w14:ligatures w14:val="standardContextual"/>
          </w:rPr>
          <w:tab/>
        </w:r>
        <w:r w:rsidRPr="00563E6C">
          <w:t>MAI premiums</w:t>
        </w:r>
        <w:r w:rsidRPr="009F0332">
          <w:rPr>
            <w:vanish/>
          </w:rPr>
          <w:tab/>
        </w:r>
        <w:r w:rsidRPr="009F0332">
          <w:rPr>
            <w:vanish/>
          </w:rPr>
          <w:fldChar w:fldCharType="begin"/>
        </w:r>
        <w:r w:rsidRPr="009F0332">
          <w:rPr>
            <w:vanish/>
          </w:rPr>
          <w:instrText xml:space="preserve"> PAGEREF _Toc153373699 \h </w:instrText>
        </w:r>
        <w:r w:rsidRPr="009F0332">
          <w:rPr>
            <w:vanish/>
          </w:rPr>
        </w:r>
        <w:r w:rsidRPr="009F0332">
          <w:rPr>
            <w:vanish/>
          </w:rPr>
          <w:fldChar w:fldCharType="separate"/>
        </w:r>
        <w:r w:rsidR="00CB35A8">
          <w:rPr>
            <w:vanish/>
          </w:rPr>
          <w:t>15</w:t>
        </w:r>
        <w:r w:rsidRPr="009F0332">
          <w:rPr>
            <w:vanish/>
          </w:rPr>
          <w:fldChar w:fldCharType="end"/>
        </w:r>
      </w:hyperlink>
    </w:p>
    <w:p w14:paraId="049E1F10" w14:textId="20597B6B"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0" w:history="1">
        <w:r w:rsidRPr="00563E6C">
          <w:t>14</w:t>
        </w:r>
        <w:r>
          <w:rPr>
            <w:rFonts w:asciiTheme="minorHAnsi" w:eastAsiaTheme="minorEastAsia" w:hAnsiTheme="minorHAnsi" w:cstheme="minorBidi"/>
            <w:kern w:val="2"/>
            <w:sz w:val="22"/>
            <w:szCs w:val="22"/>
            <w:lang w:eastAsia="en-AU"/>
            <w14:ligatures w14:val="standardContextual"/>
          </w:rPr>
          <w:tab/>
        </w:r>
        <w:r w:rsidRPr="00563E6C">
          <w:t>Definitions—pt 4</w:t>
        </w:r>
        <w:r>
          <w:tab/>
        </w:r>
        <w:r>
          <w:fldChar w:fldCharType="begin"/>
        </w:r>
        <w:r>
          <w:instrText xml:space="preserve"> PAGEREF _Toc153373700 \h </w:instrText>
        </w:r>
        <w:r>
          <w:fldChar w:fldCharType="separate"/>
        </w:r>
        <w:r w:rsidR="00CB35A8">
          <w:t>15</w:t>
        </w:r>
        <w:r>
          <w:fldChar w:fldCharType="end"/>
        </w:r>
      </w:hyperlink>
    </w:p>
    <w:p w14:paraId="411A52EC" w14:textId="7468FCA8"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1" w:history="1">
        <w:r w:rsidRPr="00563E6C">
          <w:t>15</w:t>
        </w:r>
        <w:r>
          <w:rPr>
            <w:rFonts w:asciiTheme="minorHAnsi" w:eastAsiaTheme="minorEastAsia" w:hAnsiTheme="minorHAnsi" w:cstheme="minorBidi"/>
            <w:kern w:val="2"/>
            <w:sz w:val="22"/>
            <w:szCs w:val="22"/>
            <w:lang w:eastAsia="en-AU"/>
            <w14:ligatures w14:val="standardContextual"/>
          </w:rPr>
          <w:tab/>
        </w:r>
        <w:r w:rsidRPr="00563E6C">
          <w:t>Licensed insurers to have annual MAI premium approved for MAI premium classes</w:t>
        </w:r>
        <w:r>
          <w:tab/>
        </w:r>
        <w:r>
          <w:fldChar w:fldCharType="begin"/>
        </w:r>
        <w:r>
          <w:instrText xml:space="preserve"> PAGEREF _Toc153373701 \h </w:instrText>
        </w:r>
        <w:r>
          <w:fldChar w:fldCharType="separate"/>
        </w:r>
        <w:r w:rsidR="00CB35A8">
          <w:t>15</w:t>
        </w:r>
        <w:r>
          <w:fldChar w:fldCharType="end"/>
        </w:r>
      </w:hyperlink>
    </w:p>
    <w:p w14:paraId="29EC04B9" w14:textId="0BA0ECA3"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2" w:history="1">
        <w:r w:rsidRPr="00563E6C">
          <w:t>16</w:t>
        </w:r>
        <w:r>
          <w:rPr>
            <w:rFonts w:asciiTheme="minorHAnsi" w:eastAsiaTheme="minorEastAsia" w:hAnsiTheme="minorHAnsi" w:cstheme="minorBidi"/>
            <w:kern w:val="2"/>
            <w:sz w:val="22"/>
            <w:szCs w:val="22"/>
            <w:lang w:eastAsia="en-AU"/>
            <w14:ligatures w14:val="standardContextual"/>
          </w:rPr>
          <w:tab/>
        </w:r>
        <w:r w:rsidRPr="00563E6C">
          <w:t>MAI premium if vehicle or plate in multiple classes</w:t>
        </w:r>
        <w:r>
          <w:tab/>
        </w:r>
        <w:r>
          <w:fldChar w:fldCharType="begin"/>
        </w:r>
        <w:r>
          <w:instrText xml:space="preserve"> PAGEREF _Toc153373702 \h </w:instrText>
        </w:r>
        <w:r>
          <w:fldChar w:fldCharType="separate"/>
        </w:r>
        <w:r w:rsidR="00CB35A8">
          <w:t>16</w:t>
        </w:r>
        <w:r>
          <w:fldChar w:fldCharType="end"/>
        </w:r>
      </w:hyperlink>
    </w:p>
    <w:p w14:paraId="5E7DF0A4" w14:textId="00B0E4AE"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3" w:history="1">
        <w:r w:rsidRPr="00563E6C">
          <w:t>17</w:t>
        </w:r>
        <w:r>
          <w:rPr>
            <w:rFonts w:asciiTheme="minorHAnsi" w:eastAsiaTheme="minorEastAsia" w:hAnsiTheme="minorHAnsi" w:cstheme="minorBidi"/>
            <w:kern w:val="2"/>
            <w:sz w:val="22"/>
            <w:szCs w:val="22"/>
            <w:lang w:eastAsia="en-AU"/>
            <w14:ligatures w14:val="standardContextual"/>
          </w:rPr>
          <w:tab/>
        </w:r>
        <w:r w:rsidRPr="00563E6C">
          <w:t>MAI premiums for policies for less than 1 year</w:t>
        </w:r>
        <w:r>
          <w:tab/>
        </w:r>
        <w:r>
          <w:fldChar w:fldCharType="begin"/>
        </w:r>
        <w:r>
          <w:instrText xml:space="preserve"> PAGEREF _Toc153373703 \h </w:instrText>
        </w:r>
        <w:r>
          <w:fldChar w:fldCharType="separate"/>
        </w:r>
        <w:r w:rsidR="00CB35A8">
          <w:t>16</w:t>
        </w:r>
        <w:r>
          <w:fldChar w:fldCharType="end"/>
        </w:r>
      </w:hyperlink>
    </w:p>
    <w:p w14:paraId="2085AFB4" w14:textId="78CCA420"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4" w:history="1">
        <w:r w:rsidRPr="00563E6C">
          <w:t>18</w:t>
        </w:r>
        <w:r>
          <w:rPr>
            <w:rFonts w:asciiTheme="minorHAnsi" w:eastAsiaTheme="minorEastAsia" w:hAnsiTheme="minorHAnsi" w:cstheme="minorBidi"/>
            <w:kern w:val="2"/>
            <w:sz w:val="22"/>
            <w:szCs w:val="22"/>
            <w:lang w:eastAsia="en-AU"/>
            <w14:ligatures w14:val="standardContextual"/>
          </w:rPr>
          <w:tab/>
        </w:r>
        <w:r w:rsidRPr="00563E6C">
          <w:t>Additional MAI premium payable if change in construction or use of vehicle</w:t>
        </w:r>
        <w:r>
          <w:tab/>
        </w:r>
        <w:r>
          <w:fldChar w:fldCharType="begin"/>
        </w:r>
        <w:r>
          <w:instrText xml:space="preserve"> PAGEREF _Toc153373704 \h </w:instrText>
        </w:r>
        <w:r>
          <w:fldChar w:fldCharType="separate"/>
        </w:r>
        <w:r w:rsidR="00CB35A8">
          <w:t>17</w:t>
        </w:r>
        <w:r>
          <w:fldChar w:fldCharType="end"/>
        </w:r>
      </w:hyperlink>
    </w:p>
    <w:p w14:paraId="43B243FD" w14:textId="5CE6BC7C"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705" w:history="1">
        <w:r w:rsidRPr="00563E6C">
          <w:t>Part 5</w:t>
        </w:r>
        <w:r>
          <w:rPr>
            <w:rFonts w:asciiTheme="minorHAnsi" w:eastAsiaTheme="minorEastAsia" w:hAnsiTheme="minorHAnsi" w:cstheme="minorBidi"/>
            <w:b w:val="0"/>
            <w:kern w:val="2"/>
            <w:sz w:val="22"/>
            <w:szCs w:val="22"/>
            <w:lang w:eastAsia="en-AU"/>
            <w14:ligatures w14:val="standardContextual"/>
          </w:rPr>
          <w:tab/>
        </w:r>
        <w:r w:rsidRPr="00563E6C">
          <w:t>Nominal defendant</w:t>
        </w:r>
        <w:r w:rsidRPr="009F0332">
          <w:rPr>
            <w:vanish/>
          </w:rPr>
          <w:tab/>
        </w:r>
        <w:r w:rsidRPr="009F0332">
          <w:rPr>
            <w:vanish/>
          </w:rPr>
          <w:fldChar w:fldCharType="begin"/>
        </w:r>
        <w:r w:rsidRPr="009F0332">
          <w:rPr>
            <w:vanish/>
          </w:rPr>
          <w:instrText xml:space="preserve"> PAGEREF _Toc153373705 \h </w:instrText>
        </w:r>
        <w:r w:rsidRPr="009F0332">
          <w:rPr>
            <w:vanish/>
          </w:rPr>
        </w:r>
        <w:r w:rsidRPr="009F0332">
          <w:rPr>
            <w:vanish/>
          </w:rPr>
          <w:fldChar w:fldCharType="separate"/>
        </w:r>
        <w:r w:rsidR="00CB35A8">
          <w:rPr>
            <w:vanish/>
          </w:rPr>
          <w:t>18</w:t>
        </w:r>
        <w:r w:rsidRPr="009F0332">
          <w:rPr>
            <w:vanish/>
          </w:rPr>
          <w:fldChar w:fldCharType="end"/>
        </w:r>
      </w:hyperlink>
    </w:p>
    <w:p w14:paraId="28E71236" w14:textId="32641447" w:rsidR="009F0332" w:rsidRDefault="009F0332">
      <w:pPr>
        <w:pStyle w:val="TOC3"/>
        <w:rPr>
          <w:rFonts w:asciiTheme="minorHAnsi" w:eastAsiaTheme="minorEastAsia" w:hAnsiTheme="minorHAnsi" w:cstheme="minorBidi"/>
          <w:b w:val="0"/>
          <w:kern w:val="2"/>
          <w:sz w:val="22"/>
          <w:szCs w:val="22"/>
          <w:lang w:eastAsia="en-AU"/>
          <w14:ligatures w14:val="standardContextual"/>
        </w:rPr>
      </w:pPr>
      <w:hyperlink w:anchor="_Toc153373706" w:history="1">
        <w:r w:rsidRPr="00563E6C">
          <w:t>Division 5.1</w:t>
        </w:r>
        <w:r>
          <w:rPr>
            <w:rFonts w:asciiTheme="minorHAnsi" w:eastAsiaTheme="minorEastAsia" w:hAnsiTheme="minorHAnsi" w:cstheme="minorBidi"/>
            <w:b w:val="0"/>
            <w:kern w:val="2"/>
            <w:sz w:val="22"/>
            <w:szCs w:val="22"/>
            <w:lang w:eastAsia="en-AU"/>
            <w14:ligatures w14:val="standardContextual"/>
          </w:rPr>
          <w:tab/>
        </w:r>
        <w:r w:rsidRPr="00563E6C">
          <w:t>Nominal defendant’s liabilities</w:t>
        </w:r>
        <w:r w:rsidRPr="009F0332">
          <w:rPr>
            <w:vanish/>
          </w:rPr>
          <w:tab/>
        </w:r>
        <w:r w:rsidRPr="009F0332">
          <w:rPr>
            <w:vanish/>
          </w:rPr>
          <w:fldChar w:fldCharType="begin"/>
        </w:r>
        <w:r w:rsidRPr="009F0332">
          <w:rPr>
            <w:vanish/>
          </w:rPr>
          <w:instrText xml:space="preserve"> PAGEREF _Toc153373706 \h </w:instrText>
        </w:r>
        <w:r w:rsidRPr="009F0332">
          <w:rPr>
            <w:vanish/>
          </w:rPr>
        </w:r>
        <w:r w:rsidRPr="009F0332">
          <w:rPr>
            <w:vanish/>
          </w:rPr>
          <w:fldChar w:fldCharType="separate"/>
        </w:r>
        <w:r w:rsidR="00CB35A8">
          <w:rPr>
            <w:vanish/>
          </w:rPr>
          <w:t>18</w:t>
        </w:r>
        <w:r w:rsidRPr="009F0332">
          <w:rPr>
            <w:vanish/>
          </w:rPr>
          <w:fldChar w:fldCharType="end"/>
        </w:r>
      </w:hyperlink>
    </w:p>
    <w:p w14:paraId="43B2582A" w14:textId="4E11DB58"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7" w:history="1">
        <w:r w:rsidRPr="00563E6C">
          <w:t>19</w:t>
        </w:r>
        <w:r>
          <w:rPr>
            <w:rFonts w:asciiTheme="minorHAnsi" w:eastAsiaTheme="minorEastAsia" w:hAnsiTheme="minorHAnsi" w:cstheme="minorBidi"/>
            <w:kern w:val="2"/>
            <w:sz w:val="22"/>
            <w:szCs w:val="22"/>
            <w:lang w:eastAsia="en-AU"/>
            <w14:ligatures w14:val="standardContextual"/>
          </w:rPr>
          <w:tab/>
        </w:r>
        <w:r w:rsidRPr="00563E6C">
          <w:t>Circumstances in which motor vehicle has sufficient connection with ACT—Act, s 326 (4)</w:t>
        </w:r>
        <w:r>
          <w:tab/>
        </w:r>
        <w:r>
          <w:fldChar w:fldCharType="begin"/>
        </w:r>
        <w:r>
          <w:instrText xml:space="preserve"> PAGEREF _Toc153373707 \h </w:instrText>
        </w:r>
        <w:r>
          <w:fldChar w:fldCharType="separate"/>
        </w:r>
        <w:r w:rsidR="00CB35A8">
          <w:t>18</w:t>
        </w:r>
        <w:r>
          <w:fldChar w:fldCharType="end"/>
        </w:r>
      </w:hyperlink>
    </w:p>
    <w:p w14:paraId="2BED2617" w14:textId="2FA57AA4" w:rsidR="009F0332" w:rsidRDefault="009F0332">
      <w:pPr>
        <w:pStyle w:val="TOC3"/>
        <w:rPr>
          <w:rFonts w:asciiTheme="minorHAnsi" w:eastAsiaTheme="minorEastAsia" w:hAnsiTheme="minorHAnsi" w:cstheme="minorBidi"/>
          <w:b w:val="0"/>
          <w:kern w:val="2"/>
          <w:sz w:val="22"/>
          <w:szCs w:val="22"/>
          <w:lang w:eastAsia="en-AU"/>
          <w14:ligatures w14:val="standardContextual"/>
        </w:rPr>
      </w:pPr>
      <w:hyperlink w:anchor="_Toc153373708" w:history="1">
        <w:r w:rsidRPr="00563E6C">
          <w:t>Division 5.2</w:t>
        </w:r>
        <w:r>
          <w:rPr>
            <w:rFonts w:asciiTheme="minorHAnsi" w:eastAsiaTheme="minorEastAsia" w:hAnsiTheme="minorHAnsi" w:cstheme="minorBidi"/>
            <w:b w:val="0"/>
            <w:kern w:val="2"/>
            <w:sz w:val="22"/>
            <w:szCs w:val="22"/>
            <w:lang w:eastAsia="en-AU"/>
            <w14:ligatures w14:val="standardContextual"/>
          </w:rPr>
          <w:tab/>
        </w:r>
        <w:r w:rsidRPr="00563E6C">
          <w:t>Nominal defendant fund</w:t>
        </w:r>
        <w:r w:rsidRPr="009F0332">
          <w:rPr>
            <w:vanish/>
          </w:rPr>
          <w:tab/>
        </w:r>
        <w:r w:rsidRPr="009F0332">
          <w:rPr>
            <w:vanish/>
          </w:rPr>
          <w:fldChar w:fldCharType="begin"/>
        </w:r>
        <w:r w:rsidRPr="009F0332">
          <w:rPr>
            <w:vanish/>
          </w:rPr>
          <w:instrText xml:space="preserve"> PAGEREF _Toc153373708 \h </w:instrText>
        </w:r>
        <w:r w:rsidRPr="009F0332">
          <w:rPr>
            <w:vanish/>
          </w:rPr>
        </w:r>
        <w:r w:rsidRPr="009F0332">
          <w:rPr>
            <w:vanish/>
          </w:rPr>
          <w:fldChar w:fldCharType="separate"/>
        </w:r>
        <w:r w:rsidR="00CB35A8">
          <w:rPr>
            <w:vanish/>
          </w:rPr>
          <w:t>18</w:t>
        </w:r>
        <w:r w:rsidRPr="009F0332">
          <w:rPr>
            <w:vanish/>
          </w:rPr>
          <w:fldChar w:fldCharType="end"/>
        </w:r>
      </w:hyperlink>
    </w:p>
    <w:p w14:paraId="43DB0A3C" w14:textId="1E866D32"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09" w:history="1">
        <w:r w:rsidRPr="00563E6C">
          <w:t>20</w:t>
        </w:r>
        <w:r>
          <w:rPr>
            <w:rFonts w:asciiTheme="minorHAnsi" w:eastAsiaTheme="minorEastAsia" w:hAnsiTheme="minorHAnsi" w:cstheme="minorBidi"/>
            <w:kern w:val="2"/>
            <w:sz w:val="22"/>
            <w:szCs w:val="22"/>
            <w:lang w:eastAsia="en-AU"/>
            <w14:ligatures w14:val="standardContextual"/>
          </w:rPr>
          <w:tab/>
        </w:r>
        <w:r w:rsidRPr="00563E6C">
          <w:t>Collections for nominal defendant fund—prescribed person—Act, s 331 (1) (a)</w:t>
        </w:r>
        <w:r>
          <w:tab/>
        </w:r>
        <w:r>
          <w:fldChar w:fldCharType="begin"/>
        </w:r>
        <w:r>
          <w:instrText xml:space="preserve"> PAGEREF _Toc153373709 \h </w:instrText>
        </w:r>
        <w:r>
          <w:fldChar w:fldCharType="separate"/>
        </w:r>
        <w:r w:rsidR="00CB35A8">
          <w:t>18</w:t>
        </w:r>
        <w:r>
          <w:fldChar w:fldCharType="end"/>
        </w:r>
      </w:hyperlink>
    </w:p>
    <w:p w14:paraId="45247D62" w14:textId="79B48806"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0" w:history="1">
        <w:r w:rsidRPr="00563E6C">
          <w:t>21</w:t>
        </w:r>
        <w:r>
          <w:rPr>
            <w:rFonts w:asciiTheme="minorHAnsi" w:eastAsiaTheme="minorEastAsia" w:hAnsiTheme="minorHAnsi" w:cstheme="minorBidi"/>
            <w:kern w:val="2"/>
            <w:sz w:val="22"/>
            <w:szCs w:val="22"/>
            <w:lang w:eastAsia="en-AU"/>
            <w14:ligatures w14:val="standardContextual"/>
          </w:rPr>
          <w:tab/>
        </w:r>
        <w:r w:rsidRPr="00563E6C">
          <w:t>Collections for nominal defendant fund—arrangements—Act, s 331 (1) (b)</w:t>
        </w:r>
        <w:r>
          <w:tab/>
        </w:r>
        <w:r>
          <w:fldChar w:fldCharType="begin"/>
        </w:r>
        <w:r>
          <w:instrText xml:space="preserve"> PAGEREF _Toc153373710 \h </w:instrText>
        </w:r>
        <w:r>
          <w:fldChar w:fldCharType="separate"/>
        </w:r>
        <w:r w:rsidR="00CB35A8">
          <w:t>19</w:t>
        </w:r>
        <w:r>
          <w:fldChar w:fldCharType="end"/>
        </w:r>
      </w:hyperlink>
    </w:p>
    <w:p w14:paraId="23EAED6C" w14:textId="4C566FA9"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1" w:history="1">
        <w:r w:rsidRPr="00563E6C">
          <w:t>22</w:t>
        </w:r>
        <w:r>
          <w:rPr>
            <w:rFonts w:asciiTheme="minorHAnsi" w:eastAsiaTheme="minorEastAsia" w:hAnsiTheme="minorHAnsi" w:cstheme="minorBidi"/>
            <w:kern w:val="2"/>
            <w:sz w:val="22"/>
            <w:szCs w:val="22"/>
            <w:lang w:eastAsia="en-AU"/>
            <w14:ligatures w14:val="standardContextual"/>
          </w:rPr>
          <w:tab/>
        </w:r>
        <w:r w:rsidRPr="00563E6C">
          <w:t>Collections for nominal defendant fund—collection notice—Act, s 331 (1) (b)</w:t>
        </w:r>
        <w:r>
          <w:tab/>
        </w:r>
        <w:r>
          <w:fldChar w:fldCharType="begin"/>
        </w:r>
        <w:r>
          <w:instrText xml:space="preserve"> PAGEREF _Toc153373711 \h </w:instrText>
        </w:r>
        <w:r>
          <w:fldChar w:fldCharType="separate"/>
        </w:r>
        <w:r w:rsidR="00CB35A8">
          <w:t>20</w:t>
        </w:r>
        <w:r>
          <w:fldChar w:fldCharType="end"/>
        </w:r>
      </w:hyperlink>
    </w:p>
    <w:p w14:paraId="06A31364" w14:textId="358BD749"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2" w:history="1">
        <w:r w:rsidRPr="00563E6C">
          <w:t>23</w:t>
        </w:r>
        <w:r>
          <w:rPr>
            <w:rFonts w:asciiTheme="minorHAnsi" w:eastAsiaTheme="minorEastAsia" w:hAnsiTheme="minorHAnsi" w:cstheme="minorBidi"/>
            <w:kern w:val="2"/>
            <w:sz w:val="22"/>
            <w:szCs w:val="22"/>
            <w:lang w:eastAsia="en-AU"/>
            <w14:ligatures w14:val="standardContextual"/>
          </w:rPr>
          <w:tab/>
        </w:r>
        <w:r w:rsidRPr="00563E6C">
          <w:t>Offence—failure to pay contribution—Act, s 331 (1) (b)</w:t>
        </w:r>
        <w:r>
          <w:tab/>
        </w:r>
        <w:r>
          <w:fldChar w:fldCharType="begin"/>
        </w:r>
        <w:r>
          <w:instrText xml:space="preserve"> PAGEREF _Toc153373712 \h </w:instrText>
        </w:r>
        <w:r>
          <w:fldChar w:fldCharType="separate"/>
        </w:r>
        <w:r w:rsidR="00CB35A8">
          <w:t>20</w:t>
        </w:r>
        <w:r>
          <w:fldChar w:fldCharType="end"/>
        </w:r>
      </w:hyperlink>
    </w:p>
    <w:p w14:paraId="392B9DEC" w14:textId="2BAF32B1" w:rsidR="009F0332" w:rsidRDefault="009F0332">
      <w:pPr>
        <w:pStyle w:val="TOC2"/>
        <w:rPr>
          <w:rFonts w:asciiTheme="minorHAnsi" w:eastAsiaTheme="minorEastAsia" w:hAnsiTheme="minorHAnsi" w:cstheme="minorBidi"/>
          <w:b w:val="0"/>
          <w:kern w:val="2"/>
          <w:sz w:val="22"/>
          <w:szCs w:val="22"/>
          <w:lang w:eastAsia="en-AU"/>
          <w14:ligatures w14:val="standardContextual"/>
        </w:rPr>
      </w:pPr>
      <w:hyperlink w:anchor="_Toc153373713" w:history="1">
        <w:r w:rsidRPr="00563E6C">
          <w:t>Part 6</w:t>
        </w:r>
        <w:r>
          <w:rPr>
            <w:rFonts w:asciiTheme="minorHAnsi" w:eastAsiaTheme="minorEastAsia" w:hAnsiTheme="minorHAnsi" w:cstheme="minorBidi"/>
            <w:b w:val="0"/>
            <w:kern w:val="2"/>
            <w:sz w:val="22"/>
            <w:szCs w:val="22"/>
            <w:lang w:eastAsia="en-AU"/>
            <w14:ligatures w14:val="standardContextual"/>
          </w:rPr>
          <w:tab/>
        </w:r>
        <w:r w:rsidRPr="00563E6C">
          <w:t>MAI insurer licences</w:t>
        </w:r>
        <w:r w:rsidRPr="009F0332">
          <w:rPr>
            <w:vanish/>
          </w:rPr>
          <w:tab/>
        </w:r>
        <w:r w:rsidRPr="009F0332">
          <w:rPr>
            <w:vanish/>
          </w:rPr>
          <w:fldChar w:fldCharType="begin"/>
        </w:r>
        <w:r w:rsidRPr="009F0332">
          <w:rPr>
            <w:vanish/>
          </w:rPr>
          <w:instrText xml:space="preserve"> PAGEREF _Toc153373713 \h </w:instrText>
        </w:r>
        <w:r w:rsidRPr="009F0332">
          <w:rPr>
            <w:vanish/>
          </w:rPr>
        </w:r>
        <w:r w:rsidRPr="009F0332">
          <w:rPr>
            <w:vanish/>
          </w:rPr>
          <w:fldChar w:fldCharType="separate"/>
        </w:r>
        <w:r w:rsidR="00CB35A8">
          <w:rPr>
            <w:vanish/>
          </w:rPr>
          <w:t>22</w:t>
        </w:r>
        <w:r w:rsidRPr="009F0332">
          <w:rPr>
            <w:vanish/>
          </w:rPr>
          <w:fldChar w:fldCharType="end"/>
        </w:r>
      </w:hyperlink>
    </w:p>
    <w:p w14:paraId="59564238" w14:textId="40079C0E"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4" w:history="1">
        <w:r w:rsidRPr="00563E6C">
          <w:t>24</w:t>
        </w:r>
        <w:r>
          <w:rPr>
            <w:rFonts w:asciiTheme="minorHAnsi" w:eastAsiaTheme="minorEastAsia" w:hAnsiTheme="minorHAnsi" w:cstheme="minorBidi"/>
            <w:kern w:val="2"/>
            <w:sz w:val="22"/>
            <w:szCs w:val="22"/>
            <w:lang w:eastAsia="en-AU"/>
            <w14:ligatures w14:val="standardContextual"/>
          </w:rPr>
          <w:tab/>
        </w:r>
        <w:r w:rsidRPr="00563E6C">
          <w:t>What must be included in an insurance industry deed—Act, s 360 (2)</w:t>
        </w:r>
        <w:r>
          <w:tab/>
        </w:r>
        <w:r>
          <w:fldChar w:fldCharType="begin"/>
        </w:r>
        <w:r>
          <w:instrText xml:space="preserve"> PAGEREF _Toc153373714 \h </w:instrText>
        </w:r>
        <w:r>
          <w:fldChar w:fldCharType="separate"/>
        </w:r>
        <w:r w:rsidR="00CB35A8">
          <w:t>22</w:t>
        </w:r>
        <w:r>
          <w:fldChar w:fldCharType="end"/>
        </w:r>
      </w:hyperlink>
    </w:p>
    <w:p w14:paraId="5D37563A" w14:textId="718166D1"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5" w:history="1">
        <w:r w:rsidRPr="00563E6C">
          <w:t>25</w:t>
        </w:r>
        <w:r>
          <w:rPr>
            <w:rFonts w:asciiTheme="minorHAnsi" w:eastAsiaTheme="minorEastAsia" w:hAnsiTheme="minorHAnsi" w:cstheme="minorBidi"/>
            <w:kern w:val="2"/>
            <w:sz w:val="22"/>
            <w:szCs w:val="22"/>
            <w:lang w:eastAsia="en-AU"/>
            <w14:ligatures w14:val="standardContextual"/>
          </w:rPr>
          <w:tab/>
        </w:r>
        <w:r w:rsidRPr="00563E6C">
          <w:t>Application requirements—Act, s 362 (2)</w:t>
        </w:r>
        <w:r>
          <w:tab/>
        </w:r>
        <w:r>
          <w:fldChar w:fldCharType="begin"/>
        </w:r>
        <w:r>
          <w:instrText xml:space="preserve"> PAGEREF _Toc153373715 \h </w:instrText>
        </w:r>
        <w:r>
          <w:fldChar w:fldCharType="separate"/>
        </w:r>
        <w:r w:rsidR="00CB35A8">
          <w:t>22</w:t>
        </w:r>
        <w:r>
          <w:fldChar w:fldCharType="end"/>
        </w:r>
      </w:hyperlink>
    </w:p>
    <w:p w14:paraId="2EF3E0E3" w14:textId="4CDD3F27"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6" w:history="1">
        <w:r w:rsidRPr="00563E6C">
          <w:t>26</w:t>
        </w:r>
        <w:r>
          <w:rPr>
            <w:rFonts w:asciiTheme="minorHAnsi" w:eastAsiaTheme="minorEastAsia" w:hAnsiTheme="minorHAnsi" w:cstheme="minorBidi"/>
            <w:kern w:val="2"/>
            <w:sz w:val="22"/>
            <w:szCs w:val="22"/>
            <w:lang w:eastAsia="en-AU"/>
            <w14:ligatures w14:val="standardContextual"/>
          </w:rPr>
          <w:tab/>
        </w:r>
        <w:r w:rsidRPr="00563E6C">
          <w:t>Financial penalties—matters that must be considered—Act, s 394D (1) (c)</w:t>
        </w:r>
        <w:r>
          <w:tab/>
        </w:r>
        <w:r>
          <w:fldChar w:fldCharType="begin"/>
        </w:r>
        <w:r>
          <w:instrText xml:space="preserve"> PAGEREF _Toc153373716 \h </w:instrText>
        </w:r>
        <w:r>
          <w:fldChar w:fldCharType="separate"/>
        </w:r>
        <w:r w:rsidR="00CB35A8">
          <w:t>23</w:t>
        </w:r>
        <w:r>
          <w:fldChar w:fldCharType="end"/>
        </w:r>
      </w:hyperlink>
    </w:p>
    <w:p w14:paraId="5D073AEE" w14:textId="6929E326" w:rsidR="009F0332" w:rsidRDefault="009F0332">
      <w:pPr>
        <w:pStyle w:val="TOC6"/>
        <w:rPr>
          <w:rFonts w:asciiTheme="minorHAnsi" w:eastAsiaTheme="minorEastAsia" w:hAnsiTheme="minorHAnsi" w:cstheme="minorBidi"/>
          <w:b w:val="0"/>
          <w:kern w:val="2"/>
          <w:sz w:val="22"/>
          <w:szCs w:val="22"/>
          <w:lang w:eastAsia="en-AU"/>
          <w14:ligatures w14:val="standardContextual"/>
        </w:rPr>
      </w:pPr>
      <w:hyperlink w:anchor="_Toc153373717" w:history="1">
        <w:r w:rsidRPr="00563E6C">
          <w:t>Schedule 1</w:t>
        </w:r>
        <w:r>
          <w:rPr>
            <w:rFonts w:asciiTheme="minorHAnsi" w:eastAsiaTheme="minorEastAsia" w:hAnsiTheme="minorHAnsi" w:cstheme="minorBidi"/>
            <w:b w:val="0"/>
            <w:kern w:val="2"/>
            <w:sz w:val="22"/>
            <w:szCs w:val="22"/>
            <w:lang w:eastAsia="en-AU"/>
            <w14:ligatures w14:val="standardContextual"/>
          </w:rPr>
          <w:tab/>
        </w:r>
        <w:r w:rsidRPr="00563E6C">
          <w:t>MAI premium classes</w:t>
        </w:r>
        <w:r>
          <w:tab/>
        </w:r>
        <w:r w:rsidRPr="009F0332">
          <w:rPr>
            <w:b w:val="0"/>
            <w:sz w:val="20"/>
          </w:rPr>
          <w:fldChar w:fldCharType="begin"/>
        </w:r>
        <w:r w:rsidRPr="009F0332">
          <w:rPr>
            <w:b w:val="0"/>
            <w:sz w:val="20"/>
          </w:rPr>
          <w:instrText xml:space="preserve"> PAGEREF _Toc153373717 \h </w:instrText>
        </w:r>
        <w:r w:rsidRPr="009F0332">
          <w:rPr>
            <w:b w:val="0"/>
            <w:sz w:val="20"/>
          </w:rPr>
        </w:r>
        <w:r w:rsidRPr="009F0332">
          <w:rPr>
            <w:b w:val="0"/>
            <w:sz w:val="20"/>
          </w:rPr>
          <w:fldChar w:fldCharType="separate"/>
        </w:r>
        <w:r w:rsidR="00CB35A8">
          <w:rPr>
            <w:b w:val="0"/>
            <w:sz w:val="20"/>
          </w:rPr>
          <w:t>26</w:t>
        </w:r>
        <w:r w:rsidRPr="009F0332">
          <w:rPr>
            <w:b w:val="0"/>
            <w:sz w:val="20"/>
          </w:rPr>
          <w:fldChar w:fldCharType="end"/>
        </w:r>
      </w:hyperlink>
    </w:p>
    <w:p w14:paraId="796CADD3" w14:textId="0D969EC3" w:rsidR="009F0332" w:rsidRDefault="009F0332">
      <w:pPr>
        <w:pStyle w:val="TOC7"/>
        <w:rPr>
          <w:rFonts w:asciiTheme="minorHAnsi" w:eastAsiaTheme="minorEastAsia" w:hAnsiTheme="minorHAnsi" w:cstheme="minorBidi"/>
          <w:b w:val="0"/>
          <w:kern w:val="2"/>
          <w:sz w:val="22"/>
          <w:szCs w:val="22"/>
          <w:lang w:eastAsia="en-AU"/>
          <w14:ligatures w14:val="standardContextual"/>
        </w:rPr>
      </w:pPr>
      <w:hyperlink w:anchor="_Toc153373718" w:history="1">
        <w:r w:rsidRPr="00563E6C">
          <w:t>Part 1.1</w:t>
        </w:r>
        <w:r>
          <w:rPr>
            <w:rFonts w:asciiTheme="minorHAnsi" w:eastAsiaTheme="minorEastAsia" w:hAnsiTheme="minorHAnsi" w:cstheme="minorBidi"/>
            <w:b w:val="0"/>
            <w:kern w:val="2"/>
            <w:sz w:val="22"/>
            <w:szCs w:val="22"/>
            <w:lang w:eastAsia="en-AU"/>
            <w14:ligatures w14:val="standardContextual"/>
          </w:rPr>
          <w:tab/>
        </w:r>
        <w:r w:rsidRPr="00563E6C">
          <w:t>Definitions</w:t>
        </w:r>
        <w:r>
          <w:tab/>
        </w:r>
        <w:r w:rsidRPr="009F0332">
          <w:rPr>
            <w:b w:val="0"/>
          </w:rPr>
          <w:fldChar w:fldCharType="begin"/>
        </w:r>
        <w:r w:rsidRPr="009F0332">
          <w:rPr>
            <w:b w:val="0"/>
          </w:rPr>
          <w:instrText xml:space="preserve"> PAGEREF _Toc153373718 \h </w:instrText>
        </w:r>
        <w:r w:rsidRPr="009F0332">
          <w:rPr>
            <w:b w:val="0"/>
          </w:rPr>
        </w:r>
        <w:r w:rsidRPr="009F0332">
          <w:rPr>
            <w:b w:val="0"/>
          </w:rPr>
          <w:fldChar w:fldCharType="separate"/>
        </w:r>
        <w:r w:rsidR="00CB35A8">
          <w:rPr>
            <w:b w:val="0"/>
          </w:rPr>
          <w:t>26</w:t>
        </w:r>
        <w:r w:rsidRPr="009F0332">
          <w:rPr>
            <w:b w:val="0"/>
          </w:rPr>
          <w:fldChar w:fldCharType="end"/>
        </w:r>
      </w:hyperlink>
    </w:p>
    <w:p w14:paraId="59557109" w14:textId="73F5CB91"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19" w:history="1">
        <w:r w:rsidRPr="00563E6C">
          <w:t>1.1</w:t>
        </w:r>
        <w:r>
          <w:rPr>
            <w:rFonts w:asciiTheme="minorHAnsi" w:eastAsiaTheme="minorEastAsia" w:hAnsiTheme="minorHAnsi" w:cstheme="minorBidi"/>
            <w:kern w:val="2"/>
            <w:sz w:val="22"/>
            <w:szCs w:val="22"/>
            <w:lang w:eastAsia="en-AU"/>
            <w14:ligatures w14:val="standardContextual"/>
          </w:rPr>
          <w:tab/>
        </w:r>
        <w:r w:rsidRPr="00563E6C">
          <w:t>Definitions—sch 1</w:t>
        </w:r>
        <w:r>
          <w:tab/>
        </w:r>
        <w:r>
          <w:fldChar w:fldCharType="begin"/>
        </w:r>
        <w:r>
          <w:instrText xml:space="preserve"> PAGEREF _Toc153373719 \h </w:instrText>
        </w:r>
        <w:r>
          <w:fldChar w:fldCharType="separate"/>
        </w:r>
        <w:r w:rsidR="00CB35A8">
          <w:t>26</w:t>
        </w:r>
        <w:r>
          <w:fldChar w:fldCharType="end"/>
        </w:r>
      </w:hyperlink>
    </w:p>
    <w:p w14:paraId="3DDE4A00" w14:textId="14ED6DCE" w:rsidR="009F0332" w:rsidRDefault="009F0332">
      <w:pPr>
        <w:pStyle w:val="TOC7"/>
        <w:rPr>
          <w:rFonts w:asciiTheme="minorHAnsi" w:eastAsiaTheme="minorEastAsia" w:hAnsiTheme="minorHAnsi" w:cstheme="minorBidi"/>
          <w:b w:val="0"/>
          <w:kern w:val="2"/>
          <w:sz w:val="22"/>
          <w:szCs w:val="22"/>
          <w:lang w:eastAsia="en-AU"/>
          <w14:ligatures w14:val="standardContextual"/>
        </w:rPr>
      </w:pPr>
      <w:hyperlink w:anchor="_Toc153373720" w:history="1">
        <w:r w:rsidRPr="00563E6C">
          <w:t>Part 1.2</w:t>
        </w:r>
        <w:r>
          <w:rPr>
            <w:rFonts w:asciiTheme="minorHAnsi" w:eastAsiaTheme="minorEastAsia" w:hAnsiTheme="minorHAnsi" w:cstheme="minorBidi"/>
            <w:b w:val="0"/>
            <w:kern w:val="2"/>
            <w:sz w:val="22"/>
            <w:szCs w:val="22"/>
            <w:lang w:eastAsia="en-AU"/>
            <w14:ligatures w14:val="standardContextual"/>
          </w:rPr>
          <w:tab/>
        </w:r>
        <w:r w:rsidRPr="00563E6C">
          <w:t>MAI premium classes</w:t>
        </w:r>
        <w:r>
          <w:tab/>
        </w:r>
        <w:r w:rsidRPr="009F0332">
          <w:rPr>
            <w:b w:val="0"/>
          </w:rPr>
          <w:fldChar w:fldCharType="begin"/>
        </w:r>
        <w:r w:rsidRPr="009F0332">
          <w:rPr>
            <w:b w:val="0"/>
          </w:rPr>
          <w:instrText xml:space="preserve"> PAGEREF _Toc153373720 \h </w:instrText>
        </w:r>
        <w:r w:rsidRPr="009F0332">
          <w:rPr>
            <w:b w:val="0"/>
          </w:rPr>
        </w:r>
        <w:r w:rsidRPr="009F0332">
          <w:rPr>
            <w:b w:val="0"/>
          </w:rPr>
          <w:fldChar w:fldCharType="separate"/>
        </w:r>
        <w:r w:rsidR="00CB35A8">
          <w:rPr>
            <w:b w:val="0"/>
          </w:rPr>
          <w:t>30</w:t>
        </w:r>
        <w:r w:rsidRPr="009F0332">
          <w:rPr>
            <w:b w:val="0"/>
          </w:rPr>
          <w:fldChar w:fldCharType="end"/>
        </w:r>
      </w:hyperlink>
    </w:p>
    <w:p w14:paraId="13C9B2C7" w14:textId="7B2C1CDD" w:rsidR="009F0332" w:rsidRDefault="009F0332">
      <w:pPr>
        <w:pStyle w:val="TOC6"/>
        <w:rPr>
          <w:rFonts w:asciiTheme="minorHAnsi" w:eastAsiaTheme="minorEastAsia" w:hAnsiTheme="minorHAnsi" w:cstheme="minorBidi"/>
          <w:b w:val="0"/>
          <w:kern w:val="2"/>
          <w:sz w:val="22"/>
          <w:szCs w:val="22"/>
          <w:lang w:eastAsia="en-AU"/>
          <w14:ligatures w14:val="standardContextual"/>
        </w:rPr>
      </w:pPr>
      <w:hyperlink w:anchor="_Toc153373721" w:history="1">
        <w:r w:rsidRPr="00563E6C">
          <w:t>Dictionary</w:t>
        </w:r>
        <w:r>
          <w:tab/>
        </w:r>
        <w:r>
          <w:tab/>
        </w:r>
        <w:r w:rsidRPr="009F0332">
          <w:rPr>
            <w:b w:val="0"/>
            <w:sz w:val="20"/>
          </w:rPr>
          <w:fldChar w:fldCharType="begin"/>
        </w:r>
        <w:r w:rsidRPr="009F0332">
          <w:rPr>
            <w:b w:val="0"/>
            <w:sz w:val="20"/>
          </w:rPr>
          <w:instrText xml:space="preserve"> PAGEREF _Toc153373721 \h </w:instrText>
        </w:r>
        <w:r w:rsidRPr="009F0332">
          <w:rPr>
            <w:b w:val="0"/>
            <w:sz w:val="20"/>
          </w:rPr>
        </w:r>
        <w:r w:rsidRPr="009F0332">
          <w:rPr>
            <w:b w:val="0"/>
            <w:sz w:val="20"/>
          </w:rPr>
          <w:fldChar w:fldCharType="separate"/>
        </w:r>
        <w:r w:rsidR="00CB35A8">
          <w:rPr>
            <w:b w:val="0"/>
            <w:sz w:val="20"/>
          </w:rPr>
          <w:t>34</w:t>
        </w:r>
        <w:r w:rsidRPr="009F0332">
          <w:rPr>
            <w:b w:val="0"/>
            <w:sz w:val="20"/>
          </w:rPr>
          <w:fldChar w:fldCharType="end"/>
        </w:r>
      </w:hyperlink>
    </w:p>
    <w:p w14:paraId="3BDC286D" w14:textId="7B18CC62" w:rsidR="009F0332" w:rsidRDefault="009F0332" w:rsidP="009F033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373722" w:history="1">
        <w:r>
          <w:t>Endnotes</w:t>
        </w:r>
        <w:r w:rsidRPr="009F0332">
          <w:rPr>
            <w:vanish/>
          </w:rPr>
          <w:tab/>
        </w:r>
        <w:r>
          <w:rPr>
            <w:vanish/>
          </w:rPr>
          <w:tab/>
        </w:r>
        <w:r w:rsidRPr="009F0332">
          <w:rPr>
            <w:b w:val="0"/>
            <w:vanish/>
          </w:rPr>
          <w:fldChar w:fldCharType="begin"/>
        </w:r>
        <w:r w:rsidRPr="009F0332">
          <w:rPr>
            <w:b w:val="0"/>
            <w:vanish/>
          </w:rPr>
          <w:instrText xml:space="preserve"> PAGEREF _Toc153373722 \h </w:instrText>
        </w:r>
        <w:r w:rsidRPr="009F0332">
          <w:rPr>
            <w:b w:val="0"/>
            <w:vanish/>
          </w:rPr>
        </w:r>
        <w:r w:rsidRPr="009F0332">
          <w:rPr>
            <w:b w:val="0"/>
            <w:vanish/>
          </w:rPr>
          <w:fldChar w:fldCharType="separate"/>
        </w:r>
        <w:r w:rsidR="00CB35A8">
          <w:rPr>
            <w:b w:val="0"/>
            <w:vanish/>
          </w:rPr>
          <w:t>38</w:t>
        </w:r>
        <w:r w:rsidRPr="009F0332">
          <w:rPr>
            <w:b w:val="0"/>
            <w:vanish/>
          </w:rPr>
          <w:fldChar w:fldCharType="end"/>
        </w:r>
      </w:hyperlink>
    </w:p>
    <w:p w14:paraId="0807B6EA" w14:textId="361AF41C"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23" w:history="1">
        <w:r w:rsidRPr="00563E6C">
          <w:t>1</w:t>
        </w:r>
        <w:r>
          <w:rPr>
            <w:rFonts w:asciiTheme="minorHAnsi" w:eastAsiaTheme="minorEastAsia" w:hAnsiTheme="minorHAnsi" w:cstheme="minorBidi"/>
            <w:kern w:val="2"/>
            <w:sz w:val="22"/>
            <w:szCs w:val="22"/>
            <w:lang w:eastAsia="en-AU"/>
            <w14:ligatures w14:val="standardContextual"/>
          </w:rPr>
          <w:tab/>
        </w:r>
        <w:r w:rsidRPr="00563E6C">
          <w:t>About the endnotes</w:t>
        </w:r>
        <w:r>
          <w:tab/>
        </w:r>
        <w:r>
          <w:fldChar w:fldCharType="begin"/>
        </w:r>
        <w:r>
          <w:instrText xml:space="preserve"> PAGEREF _Toc153373723 \h </w:instrText>
        </w:r>
        <w:r>
          <w:fldChar w:fldCharType="separate"/>
        </w:r>
        <w:r w:rsidR="00CB35A8">
          <w:t>38</w:t>
        </w:r>
        <w:r>
          <w:fldChar w:fldCharType="end"/>
        </w:r>
      </w:hyperlink>
    </w:p>
    <w:p w14:paraId="2B00F644" w14:textId="61D088B4"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24" w:history="1">
        <w:r w:rsidRPr="00563E6C">
          <w:t>2</w:t>
        </w:r>
        <w:r>
          <w:rPr>
            <w:rFonts w:asciiTheme="minorHAnsi" w:eastAsiaTheme="minorEastAsia" w:hAnsiTheme="minorHAnsi" w:cstheme="minorBidi"/>
            <w:kern w:val="2"/>
            <w:sz w:val="22"/>
            <w:szCs w:val="22"/>
            <w:lang w:eastAsia="en-AU"/>
            <w14:ligatures w14:val="standardContextual"/>
          </w:rPr>
          <w:tab/>
        </w:r>
        <w:r w:rsidRPr="00563E6C">
          <w:t>Abbreviation key</w:t>
        </w:r>
        <w:r>
          <w:tab/>
        </w:r>
        <w:r>
          <w:fldChar w:fldCharType="begin"/>
        </w:r>
        <w:r>
          <w:instrText xml:space="preserve"> PAGEREF _Toc153373724 \h </w:instrText>
        </w:r>
        <w:r>
          <w:fldChar w:fldCharType="separate"/>
        </w:r>
        <w:r w:rsidR="00CB35A8">
          <w:t>38</w:t>
        </w:r>
        <w:r>
          <w:fldChar w:fldCharType="end"/>
        </w:r>
      </w:hyperlink>
    </w:p>
    <w:p w14:paraId="5EF45E93" w14:textId="1D523D77"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25" w:history="1">
        <w:r w:rsidRPr="00563E6C">
          <w:t>3</w:t>
        </w:r>
        <w:r>
          <w:rPr>
            <w:rFonts w:asciiTheme="minorHAnsi" w:eastAsiaTheme="minorEastAsia" w:hAnsiTheme="minorHAnsi" w:cstheme="minorBidi"/>
            <w:kern w:val="2"/>
            <w:sz w:val="22"/>
            <w:szCs w:val="22"/>
            <w:lang w:eastAsia="en-AU"/>
            <w14:ligatures w14:val="standardContextual"/>
          </w:rPr>
          <w:tab/>
        </w:r>
        <w:r w:rsidRPr="00563E6C">
          <w:t>Legislation history</w:t>
        </w:r>
        <w:r>
          <w:tab/>
        </w:r>
        <w:r>
          <w:fldChar w:fldCharType="begin"/>
        </w:r>
        <w:r>
          <w:instrText xml:space="preserve"> PAGEREF _Toc153373725 \h </w:instrText>
        </w:r>
        <w:r>
          <w:fldChar w:fldCharType="separate"/>
        </w:r>
        <w:r w:rsidR="00CB35A8">
          <w:t>39</w:t>
        </w:r>
        <w:r>
          <w:fldChar w:fldCharType="end"/>
        </w:r>
      </w:hyperlink>
    </w:p>
    <w:p w14:paraId="5FDD1F5E" w14:textId="41FB0586" w:rsidR="009F0332" w:rsidRDefault="009F0332">
      <w:pPr>
        <w:pStyle w:val="TOC5"/>
        <w:rPr>
          <w:rFonts w:asciiTheme="minorHAnsi" w:eastAsiaTheme="minorEastAsia" w:hAnsiTheme="minorHAnsi" w:cstheme="minorBidi"/>
          <w:kern w:val="2"/>
          <w:sz w:val="22"/>
          <w:szCs w:val="22"/>
          <w:lang w:eastAsia="en-AU"/>
          <w14:ligatures w14:val="standardContextual"/>
        </w:rPr>
      </w:pPr>
      <w:r>
        <w:tab/>
      </w:r>
      <w:hyperlink w:anchor="_Toc153373726" w:history="1">
        <w:r w:rsidRPr="00563E6C">
          <w:t>4</w:t>
        </w:r>
        <w:r>
          <w:rPr>
            <w:rFonts w:asciiTheme="minorHAnsi" w:eastAsiaTheme="minorEastAsia" w:hAnsiTheme="minorHAnsi" w:cstheme="minorBidi"/>
            <w:kern w:val="2"/>
            <w:sz w:val="22"/>
            <w:szCs w:val="22"/>
            <w:lang w:eastAsia="en-AU"/>
            <w14:ligatures w14:val="standardContextual"/>
          </w:rPr>
          <w:tab/>
        </w:r>
        <w:r w:rsidRPr="00563E6C">
          <w:t>Amendment history</w:t>
        </w:r>
        <w:r>
          <w:tab/>
        </w:r>
        <w:r>
          <w:fldChar w:fldCharType="begin"/>
        </w:r>
        <w:r>
          <w:instrText xml:space="preserve"> PAGEREF _Toc153373726 \h </w:instrText>
        </w:r>
        <w:r>
          <w:fldChar w:fldCharType="separate"/>
        </w:r>
        <w:r w:rsidR="00CB35A8">
          <w:t>40</w:t>
        </w:r>
        <w:r>
          <w:fldChar w:fldCharType="end"/>
        </w:r>
      </w:hyperlink>
    </w:p>
    <w:p w14:paraId="41093D8D" w14:textId="33A0B518" w:rsidR="009F0332" w:rsidRDefault="009F033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373727" w:history="1">
        <w:r w:rsidRPr="00563E6C">
          <w:t>5</w:t>
        </w:r>
        <w:r>
          <w:rPr>
            <w:rFonts w:asciiTheme="minorHAnsi" w:eastAsiaTheme="minorEastAsia" w:hAnsiTheme="minorHAnsi" w:cstheme="minorBidi"/>
            <w:kern w:val="2"/>
            <w:sz w:val="22"/>
            <w:szCs w:val="22"/>
            <w:lang w:eastAsia="en-AU"/>
            <w14:ligatures w14:val="standardContextual"/>
          </w:rPr>
          <w:tab/>
        </w:r>
        <w:r w:rsidRPr="00563E6C">
          <w:t>Earlier republications</w:t>
        </w:r>
        <w:r>
          <w:tab/>
        </w:r>
        <w:r>
          <w:fldChar w:fldCharType="begin"/>
        </w:r>
        <w:r>
          <w:instrText xml:space="preserve"> PAGEREF _Toc153373727 \h </w:instrText>
        </w:r>
        <w:r>
          <w:fldChar w:fldCharType="separate"/>
        </w:r>
        <w:r w:rsidR="00CB35A8">
          <w:t>41</w:t>
        </w:r>
        <w:r>
          <w:fldChar w:fldCharType="end"/>
        </w:r>
      </w:hyperlink>
    </w:p>
    <w:p w14:paraId="6A2E2D0C" w14:textId="1A8B335A" w:rsidR="007D6735" w:rsidRDefault="009F0332" w:rsidP="007D6735">
      <w:pPr>
        <w:pStyle w:val="BillBasic"/>
      </w:pPr>
      <w:r>
        <w:fldChar w:fldCharType="end"/>
      </w:r>
    </w:p>
    <w:p w14:paraId="003A0C18" w14:textId="77777777" w:rsidR="00CF52D3" w:rsidRDefault="00CF52D3">
      <w:pPr>
        <w:pStyle w:val="01Contents"/>
        <w:sectPr w:rsidR="00CF52D3"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5B5CB7E" w14:textId="77777777" w:rsidR="007D6735" w:rsidRDefault="007D6735" w:rsidP="007D6735">
      <w:pPr>
        <w:jc w:val="center"/>
      </w:pPr>
      <w:r>
        <w:rPr>
          <w:noProof/>
          <w:lang w:eastAsia="en-AU"/>
        </w:rPr>
        <w:lastRenderedPageBreak/>
        <w:drawing>
          <wp:inline distT="0" distB="0" distL="0" distR="0" wp14:anchorId="68C0B74E" wp14:editId="44451150">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4C6B54" w14:textId="77777777" w:rsidR="007D6735" w:rsidRDefault="007D6735" w:rsidP="007D6735">
      <w:pPr>
        <w:jc w:val="center"/>
        <w:rPr>
          <w:rFonts w:ascii="Arial" w:hAnsi="Arial"/>
        </w:rPr>
      </w:pPr>
      <w:r>
        <w:rPr>
          <w:rFonts w:ascii="Arial" w:hAnsi="Arial"/>
        </w:rPr>
        <w:t>Australian Capital Territory</w:t>
      </w:r>
    </w:p>
    <w:p w14:paraId="70BE4516" w14:textId="713AC9B7" w:rsidR="007D6735" w:rsidRDefault="005F3B8A" w:rsidP="007D6735">
      <w:pPr>
        <w:pStyle w:val="Billname"/>
      </w:pPr>
      <w:bookmarkStart w:id="7" w:name="Citation"/>
      <w:r>
        <w:t>Motor Accident Injuries (Premiums and Administration) Regulation 2019</w:t>
      </w:r>
      <w:bookmarkEnd w:id="7"/>
      <w:r w:rsidR="007D6735">
        <w:t xml:space="preserve">     </w:t>
      </w:r>
    </w:p>
    <w:p w14:paraId="4E6D5973" w14:textId="77777777" w:rsidR="007D6735" w:rsidRDefault="007D6735" w:rsidP="007D6735">
      <w:pPr>
        <w:spacing w:before="240" w:after="60"/>
        <w:rPr>
          <w:rFonts w:ascii="Arial" w:hAnsi="Arial"/>
        </w:rPr>
      </w:pPr>
    </w:p>
    <w:p w14:paraId="540D5F60" w14:textId="77777777" w:rsidR="007D6735" w:rsidRDefault="007D6735" w:rsidP="007D6735">
      <w:pPr>
        <w:pStyle w:val="N-line3"/>
      </w:pPr>
    </w:p>
    <w:p w14:paraId="2010D479" w14:textId="77777777" w:rsidR="007D6735" w:rsidRDefault="007D6735" w:rsidP="007D6735">
      <w:pPr>
        <w:pStyle w:val="CoverInForce"/>
      </w:pPr>
      <w:r>
        <w:t>made under the</w:t>
      </w:r>
    </w:p>
    <w:bookmarkStart w:id="8" w:name="ActName"/>
    <w:p w14:paraId="40B3DD54" w14:textId="09C00B2C" w:rsidR="007D6735" w:rsidRDefault="007D6735" w:rsidP="007D6735">
      <w:pPr>
        <w:pStyle w:val="CoverActName"/>
      </w:pPr>
      <w:r w:rsidRPr="007D6735">
        <w:rPr>
          <w:rStyle w:val="charCitHyperlinkAbbrev"/>
        </w:rPr>
        <w:fldChar w:fldCharType="begin"/>
      </w:r>
      <w:r w:rsidR="005F3B8A">
        <w:rPr>
          <w:rStyle w:val="charCitHyperlinkAbbrev"/>
        </w:rPr>
        <w:instrText>HYPERLINK "http://www.legislation.act.gov.au/a/2019-12" \o "A2019-12"</w:instrText>
      </w:r>
      <w:r w:rsidRPr="007D6735">
        <w:rPr>
          <w:rStyle w:val="charCitHyperlinkAbbrev"/>
        </w:rPr>
      </w:r>
      <w:r w:rsidRPr="007D6735">
        <w:rPr>
          <w:rStyle w:val="charCitHyperlinkAbbrev"/>
        </w:rPr>
        <w:fldChar w:fldCharType="separate"/>
      </w:r>
      <w:r w:rsidR="005F3B8A">
        <w:rPr>
          <w:rStyle w:val="charCitHyperlinkAbbrev"/>
        </w:rPr>
        <w:t>Motor Accident Injuries Act 2019</w:t>
      </w:r>
      <w:r w:rsidRPr="007D6735">
        <w:rPr>
          <w:rStyle w:val="charCitHyperlinkAbbrev"/>
        </w:rPr>
        <w:fldChar w:fldCharType="end"/>
      </w:r>
      <w:bookmarkEnd w:id="8"/>
    </w:p>
    <w:p w14:paraId="4F3EC245" w14:textId="77777777" w:rsidR="007D6735" w:rsidRDefault="007D6735" w:rsidP="007D6735">
      <w:pPr>
        <w:pStyle w:val="N-line3"/>
      </w:pPr>
    </w:p>
    <w:p w14:paraId="35AFBA57" w14:textId="77777777" w:rsidR="007D6735" w:rsidRDefault="007D6735" w:rsidP="007D6735">
      <w:pPr>
        <w:pStyle w:val="Placeholder"/>
      </w:pPr>
      <w:r>
        <w:rPr>
          <w:rStyle w:val="charContents"/>
          <w:sz w:val="16"/>
        </w:rPr>
        <w:t xml:space="preserve">  </w:t>
      </w:r>
      <w:r>
        <w:rPr>
          <w:rStyle w:val="charPage"/>
        </w:rPr>
        <w:t xml:space="preserve">  </w:t>
      </w:r>
    </w:p>
    <w:p w14:paraId="318C7D50" w14:textId="77777777" w:rsidR="007D6735" w:rsidRDefault="007D6735" w:rsidP="007D6735">
      <w:pPr>
        <w:pStyle w:val="Placeholder"/>
      </w:pPr>
      <w:r>
        <w:rPr>
          <w:rStyle w:val="CharChapNo"/>
        </w:rPr>
        <w:t xml:space="preserve">  </w:t>
      </w:r>
      <w:r>
        <w:rPr>
          <w:rStyle w:val="CharChapText"/>
        </w:rPr>
        <w:t xml:space="preserve">  </w:t>
      </w:r>
    </w:p>
    <w:p w14:paraId="75B03A81" w14:textId="77777777" w:rsidR="007D6735" w:rsidRDefault="007D6735" w:rsidP="007D6735">
      <w:pPr>
        <w:pStyle w:val="Placeholder"/>
      </w:pPr>
      <w:r>
        <w:rPr>
          <w:rStyle w:val="CharPartNo"/>
        </w:rPr>
        <w:t xml:space="preserve">  </w:t>
      </w:r>
      <w:r>
        <w:rPr>
          <w:rStyle w:val="CharPartText"/>
        </w:rPr>
        <w:t xml:space="preserve">  </w:t>
      </w:r>
    </w:p>
    <w:p w14:paraId="04C15BE8" w14:textId="77777777" w:rsidR="007D6735" w:rsidRDefault="007D6735" w:rsidP="007D6735">
      <w:pPr>
        <w:pStyle w:val="Placeholder"/>
      </w:pPr>
      <w:r>
        <w:rPr>
          <w:rStyle w:val="CharDivNo"/>
        </w:rPr>
        <w:t xml:space="preserve">  </w:t>
      </w:r>
      <w:r>
        <w:rPr>
          <w:rStyle w:val="CharDivText"/>
        </w:rPr>
        <w:t xml:space="preserve">  </w:t>
      </w:r>
    </w:p>
    <w:p w14:paraId="08EF7C45" w14:textId="77777777" w:rsidR="007D6735" w:rsidRDefault="007D6735" w:rsidP="007D6735">
      <w:pPr>
        <w:pStyle w:val="Placeholder"/>
      </w:pPr>
      <w:r>
        <w:rPr>
          <w:rStyle w:val="CharSectNo"/>
        </w:rPr>
        <w:t xml:space="preserve">  </w:t>
      </w:r>
    </w:p>
    <w:p w14:paraId="667F2441" w14:textId="77777777" w:rsidR="007D6735" w:rsidRDefault="007D6735" w:rsidP="007D6735">
      <w:pPr>
        <w:pStyle w:val="PageBreak"/>
      </w:pPr>
      <w:r>
        <w:br w:type="page"/>
      </w:r>
    </w:p>
    <w:p w14:paraId="179FB1F0" w14:textId="77777777" w:rsidR="00734926" w:rsidRPr="009F0332" w:rsidRDefault="0040482C" w:rsidP="0040482C">
      <w:pPr>
        <w:pStyle w:val="AH2Part"/>
      </w:pPr>
      <w:bookmarkStart w:id="9" w:name="_Toc153373678"/>
      <w:r w:rsidRPr="009F0332">
        <w:rPr>
          <w:rStyle w:val="CharPartNo"/>
        </w:rPr>
        <w:lastRenderedPageBreak/>
        <w:t>Part 1</w:t>
      </w:r>
      <w:r w:rsidRPr="0040482C">
        <w:tab/>
      </w:r>
      <w:r w:rsidR="00734926" w:rsidRPr="009F0332">
        <w:rPr>
          <w:rStyle w:val="CharPartText"/>
        </w:rPr>
        <w:t>Preliminary</w:t>
      </w:r>
      <w:bookmarkEnd w:id="9"/>
    </w:p>
    <w:p w14:paraId="6479F377" w14:textId="77777777" w:rsidR="001A757D" w:rsidRPr="0040482C" w:rsidRDefault="0040482C" w:rsidP="0040482C">
      <w:pPr>
        <w:pStyle w:val="AH5Sec"/>
      </w:pPr>
      <w:bookmarkStart w:id="10" w:name="_Toc153373679"/>
      <w:r w:rsidRPr="009F0332">
        <w:rPr>
          <w:rStyle w:val="CharSectNo"/>
        </w:rPr>
        <w:t>1</w:t>
      </w:r>
      <w:r w:rsidRPr="0040482C">
        <w:tab/>
      </w:r>
      <w:r w:rsidR="001A757D" w:rsidRPr="0040482C">
        <w:t>Name of regulation</w:t>
      </w:r>
      <w:bookmarkEnd w:id="10"/>
    </w:p>
    <w:p w14:paraId="357E0DAC" w14:textId="5B0F67F3" w:rsidR="001A757D" w:rsidRPr="0040482C" w:rsidRDefault="001A757D" w:rsidP="00611C3B">
      <w:pPr>
        <w:pStyle w:val="Amainreturn"/>
      </w:pPr>
      <w:r w:rsidRPr="0040482C">
        <w:t xml:space="preserve">This regulation is the </w:t>
      </w:r>
      <w:r w:rsidRPr="0040482C">
        <w:rPr>
          <w:i/>
        </w:rPr>
        <w:fldChar w:fldCharType="begin"/>
      </w:r>
      <w:r w:rsidRPr="0040482C">
        <w:rPr>
          <w:i/>
        </w:rPr>
        <w:instrText xml:space="preserve"> REF citation \*charformat </w:instrText>
      </w:r>
      <w:r w:rsidRPr="0040482C">
        <w:rPr>
          <w:i/>
        </w:rPr>
        <w:fldChar w:fldCharType="separate"/>
      </w:r>
      <w:r w:rsidR="00CB35A8" w:rsidRPr="00CB35A8">
        <w:rPr>
          <w:i/>
        </w:rPr>
        <w:t>Motor Accident Injuries (Premiums and Administration) Regulation 2019</w:t>
      </w:r>
      <w:r w:rsidRPr="0040482C">
        <w:rPr>
          <w:i/>
        </w:rPr>
        <w:fldChar w:fldCharType="end"/>
      </w:r>
      <w:r w:rsidRPr="0040482C">
        <w:rPr>
          <w:iCs/>
        </w:rPr>
        <w:t>.</w:t>
      </w:r>
    </w:p>
    <w:p w14:paraId="1D5472B4" w14:textId="77777777" w:rsidR="001A757D" w:rsidRPr="0040482C" w:rsidRDefault="0040482C" w:rsidP="0040482C">
      <w:pPr>
        <w:pStyle w:val="AH5Sec"/>
      </w:pPr>
      <w:bookmarkStart w:id="11" w:name="_Toc153373680"/>
      <w:r w:rsidRPr="009F0332">
        <w:rPr>
          <w:rStyle w:val="CharSectNo"/>
        </w:rPr>
        <w:t>3</w:t>
      </w:r>
      <w:r w:rsidRPr="0040482C">
        <w:tab/>
      </w:r>
      <w:r w:rsidR="001A757D" w:rsidRPr="0040482C">
        <w:t>Dictionary</w:t>
      </w:r>
      <w:bookmarkEnd w:id="11"/>
    </w:p>
    <w:p w14:paraId="4BC12F12" w14:textId="77777777" w:rsidR="001A757D" w:rsidRPr="0040482C" w:rsidRDefault="001A757D" w:rsidP="0040482C">
      <w:pPr>
        <w:pStyle w:val="Amainreturn"/>
        <w:keepNext/>
      </w:pPr>
      <w:r w:rsidRPr="0040482C">
        <w:t>The dictionary at the end of this regulation is part of this regulation.</w:t>
      </w:r>
    </w:p>
    <w:p w14:paraId="4D37960D" w14:textId="77777777" w:rsidR="001A757D" w:rsidRPr="0040482C" w:rsidRDefault="001A757D" w:rsidP="00611C3B">
      <w:pPr>
        <w:pStyle w:val="aNote"/>
      </w:pPr>
      <w:r w:rsidRPr="0040482C">
        <w:rPr>
          <w:rStyle w:val="charItals"/>
        </w:rPr>
        <w:t>Note 1</w:t>
      </w:r>
      <w:r w:rsidRPr="0040482C">
        <w:tab/>
        <w:t>The dictionary at the end of this regulation defines certain terms used in this regulation, and includes references (</w:t>
      </w:r>
      <w:r w:rsidRPr="0040482C">
        <w:rPr>
          <w:rStyle w:val="charBoldItals"/>
        </w:rPr>
        <w:t>signpost definitions</w:t>
      </w:r>
      <w:r w:rsidRPr="0040482C">
        <w:t>) to other terms defined elsewhere.</w:t>
      </w:r>
    </w:p>
    <w:p w14:paraId="68843E0C" w14:textId="5D22A0A1" w:rsidR="001A757D" w:rsidRPr="0040482C" w:rsidRDefault="001A757D" w:rsidP="0040482C">
      <w:pPr>
        <w:pStyle w:val="aNoteTextss"/>
        <w:keepNext/>
      </w:pPr>
      <w:r w:rsidRPr="0040482C">
        <w:t>For example, the signpost definition ‘</w:t>
      </w:r>
      <w:r w:rsidR="008E18D7" w:rsidRPr="0040482C">
        <w:rPr>
          <w:rStyle w:val="charBoldItals"/>
        </w:rPr>
        <w:t>input tax credit</w:t>
      </w:r>
      <w:r w:rsidRPr="0040482C">
        <w:t xml:space="preserve">—see the </w:t>
      </w:r>
      <w:hyperlink r:id="rId28" w:tooltip="Act 1999 No 55 (Cwlth)" w:history="1">
        <w:r w:rsidR="001B5459" w:rsidRPr="0040482C">
          <w:rPr>
            <w:rStyle w:val="charCitHyperlinkItal"/>
          </w:rPr>
          <w:t>A New Tax System (Goods and Services) Act 1999</w:t>
        </w:r>
      </w:hyperlink>
      <w:r w:rsidR="008E18D7" w:rsidRPr="0040482C">
        <w:rPr>
          <w:rStyle w:val="charItals"/>
        </w:rPr>
        <w:t xml:space="preserve"> </w:t>
      </w:r>
      <w:r w:rsidR="008E18D7" w:rsidRPr="0040482C">
        <w:t>(Cwlth), section 195-1 (D</w:t>
      </w:r>
      <w:r w:rsidRPr="0040482C">
        <w:t>ictionary</w:t>
      </w:r>
      <w:r w:rsidR="008E18D7" w:rsidRPr="0040482C">
        <w:t>)</w:t>
      </w:r>
      <w:r w:rsidRPr="0040482C">
        <w:t>.’ means that the term ‘</w:t>
      </w:r>
      <w:r w:rsidR="008E18D7" w:rsidRPr="0040482C">
        <w:t>input tax credit</w:t>
      </w:r>
      <w:r w:rsidRPr="0040482C">
        <w:t xml:space="preserve">’ is defined in that </w:t>
      </w:r>
      <w:r w:rsidR="008E18D7" w:rsidRPr="0040482C">
        <w:t>section</w:t>
      </w:r>
      <w:r w:rsidRPr="0040482C">
        <w:t xml:space="preserve"> and the definition applies to this regulation.</w:t>
      </w:r>
    </w:p>
    <w:p w14:paraId="344D3D95" w14:textId="04C2FC64" w:rsidR="001A757D" w:rsidRPr="0040482C" w:rsidRDefault="001A757D" w:rsidP="00611C3B">
      <w:pPr>
        <w:pStyle w:val="aNote"/>
      </w:pPr>
      <w:r w:rsidRPr="0040482C">
        <w:rPr>
          <w:rStyle w:val="charItals"/>
        </w:rPr>
        <w:t>Note 2</w:t>
      </w:r>
      <w:r w:rsidRPr="0040482C">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1B5459" w:rsidRPr="0040482C">
          <w:rPr>
            <w:rStyle w:val="charCitHyperlinkAbbrev"/>
          </w:rPr>
          <w:t>Legislation Act</w:t>
        </w:r>
      </w:hyperlink>
      <w:r w:rsidRPr="0040482C">
        <w:t>, s 155 and s 156 (1)).</w:t>
      </w:r>
    </w:p>
    <w:p w14:paraId="12405433" w14:textId="77777777" w:rsidR="001A757D" w:rsidRPr="0040482C" w:rsidRDefault="0040482C" w:rsidP="0040482C">
      <w:pPr>
        <w:pStyle w:val="AH5Sec"/>
      </w:pPr>
      <w:bookmarkStart w:id="12" w:name="_Toc153373681"/>
      <w:r w:rsidRPr="009F0332">
        <w:rPr>
          <w:rStyle w:val="CharSectNo"/>
        </w:rPr>
        <w:t>4</w:t>
      </w:r>
      <w:r w:rsidRPr="0040482C">
        <w:tab/>
      </w:r>
      <w:r w:rsidR="001A757D" w:rsidRPr="0040482C">
        <w:t>Notes</w:t>
      </w:r>
      <w:bookmarkEnd w:id="12"/>
    </w:p>
    <w:p w14:paraId="48EADE8D" w14:textId="77777777" w:rsidR="001A757D" w:rsidRPr="0040482C" w:rsidRDefault="001A757D" w:rsidP="0040482C">
      <w:pPr>
        <w:pStyle w:val="Amainreturn"/>
        <w:keepNext/>
      </w:pPr>
      <w:r w:rsidRPr="0040482C">
        <w:t>A note included in this regulation is explanatory and is not part of this regulation.</w:t>
      </w:r>
    </w:p>
    <w:p w14:paraId="75689FA3" w14:textId="44470BCB" w:rsidR="001A757D" w:rsidRPr="0040482C" w:rsidRDefault="001A757D" w:rsidP="00611C3B">
      <w:pPr>
        <w:pStyle w:val="aNote"/>
      </w:pPr>
      <w:r w:rsidRPr="0040482C">
        <w:rPr>
          <w:rStyle w:val="charItals"/>
        </w:rPr>
        <w:t>Note</w:t>
      </w:r>
      <w:r w:rsidRPr="0040482C">
        <w:rPr>
          <w:rStyle w:val="charItals"/>
        </w:rPr>
        <w:tab/>
      </w:r>
      <w:r w:rsidRPr="0040482C">
        <w:t xml:space="preserve">See the </w:t>
      </w:r>
      <w:hyperlink r:id="rId30" w:tooltip="A2001-14" w:history="1">
        <w:r w:rsidR="001B5459" w:rsidRPr="0040482C">
          <w:rPr>
            <w:rStyle w:val="charCitHyperlinkAbbrev"/>
          </w:rPr>
          <w:t>Legislation Act</w:t>
        </w:r>
      </w:hyperlink>
      <w:r w:rsidRPr="0040482C">
        <w:t>, s 127 (1), (4) and (5) for the legal status of notes.</w:t>
      </w:r>
    </w:p>
    <w:p w14:paraId="49C116F1" w14:textId="77777777" w:rsidR="001A757D" w:rsidRPr="0040482C" w:rsidRDefault="0040482C" w:rsidP="0040482C">
      <w:pPr>
        <w:pStyle w:val="AH5Sec"/>
      </w:pPr>
      <w:bookmarkStart w:id="13" w:name="_Toc153373682"/>
      <w:r w:rsidRPr="009F0332">
        <w:rPr>
          <w:rStyle w:val="CharSectNo"/>
        </w:rPr>
        <w:lastRenderedPageBreak/>
        <w:t>5</w:t>
      </w:r>
      <w:r w:rsidRPr="0040482C">
        <w:tab/>
      </w:r>
      <w:r w:rsidR="001A757D" w:rsidRPr="0040482C">
        <w:t>Offences against regulation—application of Criminal Code etc</w:t>
      </w:r>
      <w:bookmarkEnd w:id="13"/>
    </w:p>
    <w:p w14:paraId="0F99F698" w14:textId="77777777" w:rsidR="001A757D" w:rsidRPr="0040482C" w:rsidRDefault="001A757D" w:rsidP="0040482C">
      <w:pPr>
        <w:pStyle w:val="Amainreturn"/>
        <w:keepNext/>
      </w:pPr>
      <w:r w:rsidRPr="0040482C">
        <w:t>Other legislation applies in relation to offences against this regulation.</w:t>
      </w:r>
    </w:p>
    <w:p w14:paraId="2095CCEF" w14:textId="77777777" w:rsidR="001A757D" w:rsidRPr="0040482C" w:rsidRDefault="001A757D" w:rsidP="00425961">
      <w:pPr>
        <w:pStyle w:val="aNote"/>
        <w:keepNext/>
      </w:pPr>
      <w:r w:rsidRPr="0040482C">
        <w:rPr>
          <w:rStyle w:val="charItals"/>
        </w:rPr>
        <w:t>Note 1</w:t>
      </w:r>
      <w:r w:rsidRPr="0040482C">
        <w:tab/>
      </w:r>
      <w:r w:rsidRPr="0040482C">
        <w:rPr>
          <w:rStyle w:val="charItals"/>
        </w:rPr>
        <w:t>Criminal Code</w:t>
      </w:r>
    </w:p>
    <w:p w14:paraId="2DE3AAA4" w14:textId="2B1C935D" w:rsidR="001A757D" w:rsidRPr="0040482C" w:rsidRDefault="001A757D" w:rsidP="00425961">
      <w:pPr>
        <w:pStyle w:val="aNoteTextss"/>
        <w:keepNext/>
      </w:pPr>
      <w:r w:rsidRPr="0040482C">
        <w:t xml:space="preserve">The </w:t>
      </w:r>
      <w:hyperlink r:id="rId31" w:tooltip="A2002-51" w:history="1">
        <w:r w:rsidR="001B5459" w:rsidRPr="0040482C">
          <w:rPr>
            <w:rStyle w:val="charCitHyperlinkAbbrev"/>
          </w:rPr>
          <w:t>Criminal Code</w:t>
        </w:r>
      </w:hyperlink>
      <w:r w:rsidRPr="0040482C">
        <w:t xml:space="preserve">, ch 2 applies to all offences against this regulation (see Code, pt 2.1).  </w:t>
      </w:r>
    </w:p>
    <w:p w14:paraId="121629CD" w14:textId="77777777" w:rsidR="001A757D" w:rsidRPr="0040482C" w:rsidRDefault="001A757D" w:rsidP="0040482C">
      <w:pPr>
        <w:pStyle w:val="aNoteTextss"/>
        <w:keepNext/>
      </w:pPr>
      <w:r w:rsidRPr="0040482C">
        <w:t>The chapter sets out the general principles of criminal responsibility (including burdens of proof and general defences), and defines terms used for offences to which the Code applies (eg </w:t>
      </w:r>
      <w:r w:rsidRPr="0040482C">
        <w:rPr>
          <w:rStyle w:val="charBoldItals"/>
        </w:rPr>
        <w:t>conduct</w:t>
      </w:r>
      <w:r w:rsidRPr="0040482C">
        <w:t xml:space="preserve">, </w:t>
      </w:r>
      <w:r w:rsidRPr="0040482C">
        <w:rPr>
          <w:rStyle w:val="charBoldItals"/>
        </w:rPr>
        <w:t>intention</w:t>
      </w:r>
      <w:r w:rsidRPr="0040482C">
        <w:t xml:space="preserve">, </w:t>
      </w:r>
      <w:r w:rsidRPr="0040482C">
        <w:rPr>
          <w:rStyle w:val="charBoldItals"/>
        </w:rPr>
        <w:t>recklessness</w:t>
      </w:r>
      <w:r w:rsidRPr="0040482C">
        <w:t xml:space="preserve"> and </w:t>
      </w:r>
      <w:r w:rsidRPr="0040482C">
        <w:rPr>
          <w:rStyle w:val="charBoldItals"/>
        </w:rPr>
        <w:t>strict liability</w:t>
      </w:r>
      <w:r w:rsidRPr="0040482C">
        <w:t>).</w:t>
      </w:r>
    </w:p>
    <w:p w14:paraId="774E573D" w14:textId="77777777" w:rsidR="001A757D" w:rsidRPr="0040482C" w:rsidRDefault="001A757D" w:rsidP="00611C3B">
      <w:pPr>
        <w:pStyle w:val="aNote"/>
        <w:rPr>
          <w:rStyle w:val="charItals"/>
        </w:rPr>
      </w:pPr>
      <w:r w:rsidRPr="0040482C">
        <w:rPr>
          <w:rStyle w:val="charItals"/>
        </w:rPr>
        <w:t>Note 2</w:t>
      </w:r>
      <w:r w:rsidRPr="0040482C">
        <w:rPr>
          <w:rStyle w:val="charItals"/>
        </w:rPr>
        <w:tab/>
        <w:t>Penalty units</w:t>
      </w:r>
    </w:p>
    <w:p w14:paraId="1375C117" w14:textId="08F7A67A" w:rsidR="001A757D" w:rsidRPr="0040482C" w:rsidRDefault="001A757D" w:rsidP="00611C3B">
      <w:pPr>
        <w:pStyle w:val="aNoteTextss"/>
      </w:pPr>
      <w:r w:rsidRPr="0040482C">
        <w:t xml:space="preserve">The </w:t>
      </w:r>
      <w:hyperlink r:id="rId32" w:tooltip="A2001-14" w:history="1">
        <w:r w:rsidR="001B5459" w:rsidRPr="0040482C">
          <w:rPr>
            <w:rStyle w:val="charCitHyperlinkAbbrev"/>
          </w:rPr>
          <w:t>Legislation Act</w:t>
        </w:r>
      </w:hyperlink>
      <w:r w:rsidRPr="0040482C">
        <w:t>, s 133 deals with the meaning of offence penalties that are expressed in penalty units.</w:t>
      </w:r>
    </w:p>
    <w:p w14:paraId="277D41A2" w14:textId="77777777" w:rsidR="00734926" w:rsidRPr="0040482C" w:rsidRDefault="00734926" w:rsidP="00734926">
      <w:pPr>
        <w:pStyle w:val="PageBreak"/>
      </w:pPr>
      <w:r w:rsidRPr="0040482C">
        <w:br w:type="page"/>
      </w:r>
    </w:p>
    <w:p w14:paraId="0B4BB920" w14:textId="77777777" w:rsidR="00734926" w:rsidRPr="009F0332" w:rsidRDefault="0040482C" w:rsidP="0040482C">
      <w:pPr>
        <w:pStyle w:val="AH2Part"/>
      </w:pPr>
      <w:bookmarkStart w:id="14" w:name="_Toc153373683"/>
      <w:r w:rsidRPr="009F0332">
        <w:rPr>
          <w:rStyle w:val="CharPartNo"/>
        </w:rPr>
        <w:lastRenderedPageBreak/>
        <w:t>Part 2</w:t>
      </w:r>
      <w:r w:rsidRPr="0040482C">
        <w:tab/>
      </w:r>
      <w:r w:rsidR="00E46086" w:rsidRPr="009F0332">
        <w:rPr>
          <w:rStyle w:val="CharPartText"/>
        </w:rPr>
        <w:t>Important concepts</w:t>
      </w:r>
      <w:bookmarkEnd w:id="14"/>
    </w:p>
    <w:p w14:paraId="7309A8DC" w14:textId="77777777" w:rsidR="00734926" w:rsidRPr="0040482C" w:rsidRDefault="0040482C" w:rsidP="0040482C">
      <w:pPr>
        <w:pStyle w:val="AH5Sec"/>
      </w:pPr>
      <w:bookmarkStart w:id="15" w:name="_Toc153373684"/>
      <w:r w:rsidRPr="009F0332">
        <w:rPr>
          <w:rStyle w:val="CharSectNo"/>
        </w:rPr>
        <w:t>6</w:t>
      </w:r>
      <w:r w:rsidRPr="0040482C">
        <w:tab/>
      </w:r>
      <w:r w:rsidR="00162FEC" w:rsidRPr="0040482C">
        <w:t>A</w:t>
      </w:r>
      <w:r w:rsidR="00E46086" w:rsidRPr="0040482C">
        <w:t>verage weekly earnings</w:t>
      </w:r>
      <w:r w:rsidR="00162FEC" w:rsidRPr="0040482C">
        <w:t xml:space="preserve"> series</w:t>
      </w:r>
      <w:r w:rsidR="00E46086" w:rsidRPr="0040482C">
        <w:t>—Act, s </w:t>
      </w:r>
      <w:r w:rsidR="00222D7A" w:rsidRPr="0040482C">
        <w:t>17</w:t>
      </w:r>
      <w:r w:rsidR="00162FEC" w:rsidRPr="0040482C">
        <w:t xml:space="preserve">, def </w:t>
      </w:r>
      <w:r w:rsidR="00162FEC" w:rsidRPr="0040482C">
        <w:rPr>
          <w:rStyle w:val="charItals"/>
        </w:rPr>
        <w:t>average weekly earnings</w:t>
      </w:r>
      <w:bookmarkEnd w:id="15"/>
    </w:p>
    <w:p w14:paraId="549FEE84" w14:textId="77777777" w:rsidR="00734926" w:rsidRPr="0040482C" w:rsidRDefault="00E46086" w:rsidP="0040482C">
      <w:pPr>
        <w:pStyle w:val="Amainreturn"/>
        <w:keepNext/>
      </w:pPr>
      <w:r w:rsidRPr="0040482C">
        <w:t xml:space="preserve">The </w:t>
      </w:r>
      <w:r w:rsidR="00C32CCF" w:rsidRPr="0040482C">
        <w:t xml:space="preserve">series known as </w:t>
      </w:r>
      <w:r w:rsidR="00AC4906" w:rsidRPr="0040482C">
        <w:rPr>
          <w:rStyle w:val="charItals"/>
        </w:rPr>
        <w:t>Persons:</w:t>
      </w:r>
      <w:r w:rsidRPr="0040482C">
        <w:rPr>
          <w:rStyle w:val="charItals"/>
        </w:rPr>
        <w:t xml:space="preserve"> fulltime adult </w:t>
      </w:r>
      <w:r w:rsidR="00AC4906" w:rsidRPr="0040482C">
        <w:rPr>
          <w:rStyle w:val="charItals"/>
        </w:rPr>
        <w:t xml:space="preserve">total </w:t>
      </w:r>
      <w:r w:rsidRPr="0040482C">
        <w:rPr>
          <w:rStyle w:val="charItals"/>
        </w:rPr>
        <w:t>earning</w:t>
      </w:r>
      <w:r w:rsidR="00AC4906" w:rsidRPr="0040482C">
        <w:rPr>
          <w:rStyle w:val="charItals"/>
        </w:rPr>
        <w:t>s</w:t>
      </w:r>
      <w:r w:rsidRPr="0040482C">
        <w:rPr>
          <w:rStyle w:val="charItals"/>
        </w:rPr>
        <w:t xml:space="preserve"> series</w:t>
      </w:r>
      <w:r w:rsidR="00AC4906" w:rsidRPr="0040482C">
        <w:rPr>
          <w:rStyle w:val="charItals"/>
        </w:rPr>
        <w:t>—seasonally adjusted</w:t>
      </w:r>
      <w:r w:rsidRPr="0040482C">
        <w:rPr>
          <w:rStyle w:val="charItals"/>
        </w:rPr>
        <w:t xml:space="preserve"> </w:t>
      </w:r>
      <w:r w:rsidRPr="0040482C">
        <w:t xml:space="preserve">for the </w:t>
      </w:r>
      <w:r w:rsidR="00C32CCF" w:rsidRPr="0040482C">
        <w:t>ACT</w:t>
      </w:r>
      <w:r w:rsidRPr="0040482C">
        <w:t xml:space="preserve"> </w:t>
      </w:r>
      <w:r w:rsidR="00C32CCF" w:rsidRPr="0040482C">
        <w:t xml:space="preserve">in </w:t>
      </w:r>
      <w:r w:rsidR="00C32CCF" w:rsidRPr="0040482C">
        <w:rPr>
          <w:rStyle w:val="charItals"/>
        </w:rPr>
        <w:t>Average Weekly Earnings, Australia</w:t>
      </w:r>
      <w:r w:rsidR="00C32CCF" w:rsidRPr="0040482C">
        <w:t xml:space="preserve"> (State and Territory Earnings)</w:t>
      </w:r>
      <w:r w:rsidR="006D2B8D" w:rsidRPr="0040482C">
        <w:t>,</w:t>
      </w:r>
      <w:r w:rsidR="00C32CCF" w:rsidRPr="0040482C">
        <w:t xml:space="preserve"> issued by the Australian statistician</w:t>
      </w:r>
      <w:r w:rsidR="006D2B8D" w:rsidRPr="0040482C">
        <w:t>,</w:t>
      </w:r>
      <w:r w:rsidR="00C32CCF" w:rsidRPr="0040482C">
        <w:t xml:space="preserve"> </w:t>
      </w:r>
      <w:r w:rsidRPr="0040482C">
        <w:t>is prescribed.</w:t>
      </w:r>
    </w:p>
    <w:p w14:paraId="168E1BB1" w14:textId="4B31E2CE" w:rsidR="00C32CCF" w:rsidRPr="0040482C" w:rsidRDefault="00C32CCF" w:rsidP="00C32CCF">
      <w:pPr>
        <w:pStyle w:val="aNote"/>
      </w:pPr>
      <w:r w:rsidRPr="0040482C">
        <w:rPr>
          <w:rStyle w:val="charItals"/>
        </w:rPr>
        <w:t>Note</w:t>
      </w:r>
      <w:r w:rsidRPr="0040482C">
        <w:rPr>
          <w:rStyle w:val="charItals"/>
        </w:rPr>
        <w:tab/>
        <w:t>Average Weekly Earnings, Australia</w:t>
      </w:r>
      <w:r w:rsidRPr="0040482C">
        <w:t xml:space="preserve"> is issued in May and November and is available at </w:t>
      </w:r>
      <w:hyperlink r:id="rId33" w:history="1">
        <w:r w:rsidR="001B5459" w:rsidRPr="0040482C">
          <w:rPr>
            <w:rStyle w:val="charCitHyperlinkAbbrev"/>
          </w:rPr>
          <w:t>www.abs.gov.au</w:t>
        </w:r>
      </w:hyperlink>
      <w:r w:rsidRPr="0040482C">
        <w:t xml:space="preserve">. </w:t>
      </w:r>
    </w:p>
    <w:p w14:paraId="64C911B1" w14:textId="77777777" w:rsidR="00162FEC" w:rsidRPr="0040482C" w:rsidRDefault="0040482C" w:rsidP="0040482C">
      <w:pPr>
        <w:pStyle w:val="AH5Sec"/>
      </w:pPr>
      <w:bookmarkStart w:id="16" w:name="_Toc153373685"/>
      <w:r w:rsidRPr="009F0332">
        <w:rPr>
          <w:rStyle w:val="CharSectNo"/>
        </w:rPr>
        <w:t>7</w:t>
      </w:r>
      <w:r w:rsidRPr="0040482C">
        <w:tab/>
      </w:r>
      <w:r w:rsidR="00162FEC" w:rsidRPr="0040482C">
        <w:t>Indexation day—Act, s </w:t>
      </w:r>
      <w:r w:rsidR="00222D7A" w:rsidRPr="0040482C">
        <w:t>18</w:t>
      </w:r>
      <w:r w:rsidR="00162FEC" w:rsidRPr="0040482C">
        <w:t xml:space="preserve">, def </w:t>
      </w:r>
      <w:r w:rsidR="00162FEC" w:rsidRPr="0040482C">
        <w:rPr>
          <w:rStyle w:val="charItals"/>
        </w:rPr>
        <w:t>AWE indexed</w:t>
      </w:r>
      <w:r w:rsidR="00162FEC" w:rsidRPr="0040482C">
        <w:t>, par (b)</w:t>
      </w:r>
      <w:bookmarkEnd w:id="16"/>
    </w:p>
    <w:p w14:paraId="10B89C94" w14:textId="750AC538" w:rsidR="00162FEC" w:rsidRPr="0040482C" w:rsidRDefault="0040482C" w:rsidP="0040482C">
      <w:pPr>
        <w:pStyle w:val="Amain"/>
      </w:pPr>
      <w:r>
        <w:tab/>
      </w:r>
      <w:r w:rsidRPr="0040482C">
        <w:t>(1)</w:t>
      </w:r>
      <w:r w:rsidRPr="0040482C">
        <w:tab/>
      </w:r>
      <w:r w:rsidR="002D18F5" w:rsidRPr="0040482C">
        <w:t xml:space="preserve">The indexation days for </w:t>
      </w:r>
      <w:r w:rsidR="00F63662" w:rsidRPr="0040482C">
        <w:t>each amount</w:t>
      </w:r>
      <w:r w:rsidR="002D18F5" w:rsidRPr="0040482C">
        <w:t xml:space="preserve"> mentioned in the following sections </w:t>
      </w:r>
      <w:r w:rsidR="00F63662" w:rsidRPr="0040482C">
        <w:t xml:space="preserve">of the </w:t>
      </w:r>
      <w:hyperlink r:id="rId34" w:tooltip="Motor Accident Injuries Act 2019" w:history="1">
        <w:r w:rsidR="007E35BD" w:rsidRPr="008C00DC">
          <w:rPr>
            <w:rStyle w:val="charCitHyperlinkAbbrev"/>
          </w:rPr>
          <w:t>Act</w:t>
        </w:r>
      </w:hyperlink>
      <w:r w:rsidR="00F63662" w:rsidRPr="0040482C">
        <w:t xml:space="preserve"> </w:t>
      </w:r>
      <w:r w:rsidR="005B46A1" w:rsidRPr="0040482C">
        <w:t xml:space="preserve">that is to be AWE indexed </w:t>
      </w:r>
      <w:r w:rsidR="002D18F5" w:rsidRPr="0040482C">
        <w:t>are 1 April and 1</w:t>
      </w:r>
      <w:r w:rsidR="00581FED" w:rsidRPr="0040482C">
        <w:t> </w:t>
      </w:r>
      <w:r w:rsidR="002D18F5" w:rsidRPr="0040482C">
        <w:t>October:</w:t>
      </w:r>
    </w:p>
    <w:p w14:paraId="155B951D" w14:textId="77777777" w:rsidR="002D18F5" w:rsidRPr="0040482C" w:rsidRDefault="0040482C" w:rsidP="0040482C">
      <w:pPr>
        <w:pStyle w:val="Apara"/>
      </w:pPr>
      <w:r>
        <w:tab/>
      </w:r>
      <w:r w:rsidRPr="0040482C">
        <w:t>(a)</w:t>
      </w:r>
      <w:r w:rsidRPr="0040482C">
        <w:tab/>
      </w:r>
      <w:r w:rsidR="00F63662" w:rsidRPr="0040482C">
        <w:t>section </w:t>
      </w:r>
      <w:r w:rsidR="00222D7A" w:rsidRPr="0040482C">
        <w:t>96</w:t>
      </w:r>
      <w:r w:rsidR="00F63662" w:rsidRPr="0040482C">
        <w:t xml:space="preserve"> (Amount of income replacement benefits—first payment period);</w:t>
      </w:r>
    </w:p>
    <w:p w14:paraId="7574279D" w14:textId="77777777" w:rsidR="00F63662" w:rsidRPr="0040482C" w:rsidRDefault="0040482C" w:rsidP="0040482C">
      <w:pPr>
        <w:pStyle w:val="Apara"/>
      </w:pPr>
      <w:r>
        <w:tab/>
      </w:r>
      <w:r w:rsidRPr="0040482C">
        <w:t>(b)</w:t>
      </w:r>
      <w:r w:rsidRPr="0040482C">
        <w:tab/>
      </w:r>
      <w:r w:rsidR="00F63662" w:rsidRPr="0040482C">
        <w:t>section 9</w:t>
      </w:r>
      <w:r w:rsidR="00222D7A" w:rsidRPr="0040482C">
        <w:t>7</w:t>
      </w:r>
      <w:r w:rsidR="00F63662" w:rsidRPr="0040482C">
        <w:t xml:space="preserve"> (Amount of income replacement benefits—second payment period);</w:t>
      </w:r>
    </w:p>
    <w:p w14:paraId="0420A714" w14:textId="77777777" w:rsidR="00714E78" w:rsidRPr="0040482C" w:rsidRDefault="0040482C" w:rsidP="0040482C">
      <w:pPr>
        <w:pStyle w:val="Apara"/>
      </w:pPr>
      <w:r>
        <w:tab/>
      </w:r>
      <w:r w:rsidRPr="0040482C">
        <w:t>(c)</w:t>
      </w:r>
      <w:r w:rsidRPr="0040482C">
        <w:tab/>
      </w:r>
      <w:r w:rsidR="00F63662" w:rsidRPr="0040482C">
        <w:t>section 10</w:t>
      </w:r>
      <w:r w:rsidR="00D14374" w:rsidRPr="0040482C">
        <w:t>3</w:t>
      </w:r>
      <w:r w:rsidR="00F63662" w:rsidRPr="0040482C">
        <w:t xml:space="preserve"> (Income replacement benefits—interim weekly payments).</w:t>
      </w:r>
    </w:p>
    <w:p w14:paraId="73B65340" w14:textId="72C18C4F" w:rsidR="00F63662" w:rsidRPr="0040482C" w:rsidRDefault="0040482C" w:rsidP="0040482C">
      <w:pPr>
        <w:pStyle w:val="Amain"/>
      </w:pPr>
      <w:r>
        <w:tab/>
      </w:r>
      <w:r w:rsidRPr="0040482C">
        <w:t>(2)</w:t>
      </w:r>
      <w:r w:rsidRPr="0040482C">
        <w:tab/>
      </w:r>
      <w:r w:rsidR="00F63662" w:rsidRPr="0040482C">
        <w:t xml:space="preserve">The indexation day for each amount mentioned in the following sections of the </w:t>
      </w:r>
      <w:hyperlink r:id="rId35" w:tooltip="Motor Accident Injuries Act 2019" w:history="1">
        <w:r w:rsidR="007E35BD" w:rsidRPr="008C00DC">
          <w:rPr>
            <w:rStyle w:val="charCitHyperlinkAbbrev"/>
          </w:rPr>
          <w:t>Act</w:t>
        </w:r>
      </w:hyperlink>
      <w:r w:rsidR="005B46A1" w:rsidRPr="0040482C">
        <w:t xml:space="preserve"> that is to be AWE indexed</w:t>
      </w:r>
      <w:r w:rsidR="00F63662" w:rsidRPr="0040482C">
        <w:t xml:space="preserve"> is 1 October:</w:t>
      </w:r>
    </w:p>
    <w:p w14:paraId="34A4A5CD" w14:textId="77777777" w:rsidR="00F63662" w:rsidRPr="0040482C" w:rsidRDefault="0040482C" w:rsidP="0040482C">
      <w:pPr>
        <w:pStyle w:val="Apara"/>
      </w:pPr>
      <w:r>
        <w:tab/>
      </w:r>
      <w:r w:rsidRPr="0040482C">
        <w:t>(a)</w:t>
      </w:r>
      <w:r w:rsidRPr="0040482C">
        <w:tab/>
      </w:r>
      <w:r w:rsidR="003A0E62" w:rsidRPr="0040482C">
        <w:t>section 1</w:t>
      </w:r>
      <w:r w:rsidR="00D14374" w:rsidRPr="0040482C">
        <w:t>39</w:t>
      </w:r>
      <w:r w:rsidR="00F63662" w:rsidRPr="0040482C">
        <w:t> (5) (a) (Insurer believes injur</w:t>
      </w:r>
      <w:r w:rsidR="003A0E62" w:rsidRPr="0040482C">
        <w:t>i</w:t>
      </w:r>
      <w:r w:rsidR="00F63662" w:rsidRPr="0040482C">
        <w:t>es stable but no permanent impairment);</w:t>
      </w:r>
    </w:p>
    <w:p w14:paraId="2B798483" w14:textId="3EBA5B0C" w:rsidR="00F63662" w:rsidRPr="0040482C" w:rsidRDefault="0040482C" w:rsidP="0040482C">
      <w:pPr>
        <w:pStyle w:val="Apara"/>
      </w:pPr>
      <w:r>
        <w:tab/>
      </w:r>
      <w:r w:rsidRPr="0040482C">
        <w:t>(b)</w:t>
      </w:r>
      <w:r w:rsidRPr="0040482C">
        <w:tab/>
      </w:r>
      <w:r w:rsidR="00F63662" w:rsidRPr="0040482C">
        <w:t>section 16</w:t>
      </w:r>
      <w:r w:rsidR="005E2A58">
        <w:t>7</w:t>
      </w:r>
      <w:r w:rsidR="00F63662" w:rsidRPr="0040482C">
        <w:t xml:space="preserve"> (1) (Amount of quality of life benefits payable);</w:t>
      </w:r>
    </w:p>
    <w:p w14:paraId="6FDD63AA" w14:textId="49A37879" w:rsidR="00F63662" w:rsidRPr="0040482C" w:rsidRDefault="0040482C" w:rsidP="0040482C">
      <w:pPr>
        <w:pStyle w:val="Apara"/>
      </w:pPr>
      <w:r>
        <w:tab/>
      </w:r>
      <w:r w:rsidRPr="0040482C">
        <w:t>(c)</w:t>
      </w:r>
      <w:r w:rsidRPr="0040482C">
        <w:tab/>
      </w:r>
      <w:r w:rsidR="00F63662" w:rsidRPr="0040482C">
        <w:t>section 1</w:t>
      </w:r>
      <w:r w:rsidR="003A0E62" w:rsidRPr="0040482C">
        <w:t>7</w:t>
      </w:r>
      <w:r w:rsidR="005E2A58">
        <w:t>4</w:t>
      </w:r>
      <w:r w:rsidR="00F63662" w:rsidRPr="0040482C">
        <w:t xml:space="preserve"> (Amount of death benefits payable);</w:t>
      </w:r>
    </w:p>
    <w:p w14:paraId="1B4554F1" w14:textId="6784027C" w:rsidR="00F63662" w:rsidRPr="0040482C" w:rsidRDefault="0040482C" w:rsidP="0040482C">
      <w:pPr>
        <w:pStyle w:val="Apara"/>
      </w:pPr>
      <w:r>
        <w:tab/>
      </w:r>
      <w:r w:rsidRPr="0040482C">
        <w:t>(d)</w:t>
      </w:r>
      <w:r w:rsidRPr="0040482C">
        <w:tab/>
      </w:r>
      <w:r w:rsidR="00F63662" w:rsidRPr="0040482C">
        <w:t>section </w:t>
      </w:r>
      <w:r w:rsidR="003A0E62" w:rsidRPr="0040482C">
        <w:t>1</w:t>
      </w:r>
      <w:r w:rsidR="005E2A58">
        <w:t>81</w:t>
      </w:r>
      <w:r w:rsidR="00F63662" w:rsidRPr="0040482C">
        <w:t xml:space="preserve"> (Funeral benefits—maximum amount payable);</w:t>
      </w:r>
    </w:p>
    <w:p w14:paraId="4DD84F7B" w14:textId="66037AF7" w:rsidR="00F63662" w:rsidRPr="0040482C" w:rsidRDefault="0040482C" w:rsidP="0040482C">
      <w:pPr>
        <w:pStyle w:val="Apara"/>
      </w:pPr>
      <w:r>
        <w:lastRenderedPageBreak/>
        <w:tab/>
      </w:r>
      <w:r w:rsidRPr="0040482C">
        <w:t>(e)</w:t>
      </w:r>
      <w:r w:rsidRPr="0040482C">
        <w:tab/>
      </w:r>
      <w:r w:rsidR="00F63662" w:rsidRPr="0040482C">
        <w:t xml:space="preserve">section </w:t>
      </w:r>
      <w:r w:rsidR="00BF2266" w:rsidRPr="0040482C">
        <w:t>2</w:t>
      </w:r>
      <w:r w:rsidR="00D14374" w:rsidRPr="0040482C">
        <w:t>4</w:t>
      </w:r>
      <w:r w:rsidR="005E2A58">
        <w:t>3</w:t>
      </w:r>
      <w:r w:rsidR="00F63662" w:rsidRPr="0040482C">
        <w:t> (Quality of life damages—amount that may be awarded);</w:t>
      </w:r>
    </w:p>
    <w:p w14:paraId="7E6E08C8" w14:textId="37AA1DCD" w:rsidR="00F63662" w:rsidRPr="0040482C" w:rsidRDefault="0040482C" w:rsidP="0040482C">
      <w:pPr>
        <w:pStyle w:val="Apara"/>
      </w:pPr>
      <w:r>
        <w:tab/>
      </w:r>
      <w:r w:rsidRPr="0040482C">
        <w:t>(f)</w:t>
      </w:r>
      <w:r w:rsidRPr="0040482C">
        <w:tab/>
      </w:r>
      <w:r w:rsidR="00BF2266" w:rsidRPr="0040482C">
        <w:t>section 2</w:t>
      </w:r>
      <w:r w:rsidR="00D14374" w:rsidRPr="0040482C">
        <w:t>4</w:t>
      </w:r>
      <w:r w:rsidR="005E2A58">
        <w:t>4</w:t>
      </w:r>
      <w:r w:rsidR="00F63662" w:rsidRPr="0040482C">
        <w:t> (2) (Quality of life damages—amount that may be awarded for children);</w:t>
      </w:r>
    </w:p>
    <w:p w14:paraId="5E53DE76" w14:textId="2125B7E5" w:rsidR="00F63662" w:rsidRPr="0040482C" w:rsidRDefault="0040482C" w:rsidP="0040482C">
      <w:pPr>
        <w:pStyle w:val="Apara"/>
      </w:pPr>
      <w:r>
        <w:tab/>
      </w:r>
      <w:r w:rsidRPr="0040482C">
        <w:t>(g)</w:t>
      </w:r>
      <w:r w:rsidRPr="0040482C">
        <w:tab/>
      </w:r>
      <w:r w:rsidR="00F63662" w:rsidRPr="0040482C">
        <w:t>section 2</w:t>
      </w:r>
      <w:r w:rsidR="00D14374" w:rsidRPr="0040482C">
        <w:t>7</w:t>
      </w:r>
      <w:r w:rsidR="005E2A58">
        <w:t>6</w:t>
      </w:r>
      <w:r w:rsidR="00F63662" w:rsidRPr="0040482C">
        <w:t> (1) (Costs—awards of damages over $50 000).</w:t>
      </w:r>
    </w:p>
    <w:p w14:paraId="6C2574F5" w14:textId="6AE58C0C" w:rsidR="003A5525" w:rsidRPr="0066333B" w:rsidRDefault="003A5525" w:rsidP="003A5525">
      <w:pPr>
        <w:pStyle w:val="aNote"/>
      </w:pPr>
      <w:r w:rsidRPr="0066333B">
        <w:rPr>
          <w:rStyle w:val="charItals"/>
        </w:rPr>
        <w:t>Note</w:t>
      </w:r>
      <w:r w:rsidRPr="0066333B">
        <w:rPr>
          <w:rStyle w:val="charItals"/>
        </w:rPr>
        <w:tab/>
      </w:r>
      <w:r w:rsidRPr="0066333B">
        <w:t xml:space="preserve">Also, the indexation day for an amount that is to be AWE indexed mentioned in the </w:t>
      </w:r>
      <w:hyperlink r:id="rId36" w:tooltip="SL2020-10" w:history="1">
        <w:r w:rsidR="006929DC" w:rsidRPr="006929DC">
          <w:rPr>
            <w:rStyle w:val="charCitHyperlinkItal"/>
          </w:rPr>
          <w:t>Motor Accident Injuries (ACAT Costs Orders) Regulation 2020</w:t>
        </w:r>
      </w:hyperlink>
      <w:r w:rsidRPr="0066333B">
        <w:t xml:space="preserve">, s 6 (3) is 1 October (see that </w:t>
      </w:r>
      <w:hyperlink r:id="rId37" w:tooltip="Motor Accident Injuries (ACAT Costs Orders) Regulation 2020" w:history="1">
        <w:r w:rsidR="004409A1" w:rsidRPr="004409A1">
          <w:rPr>
            <w:rStyle w:val="charCitHyperlinkAbbrev"/>
          </w:rPr>
          <w:t>regulation</w:t>
        </w:r>
      </w:hyperlink>
      <w:r w:rsidRPr="0066333B">
        <w:t>, s 5).</w:t>
      </w:r>
    </w:p>
    <w:p w14:paraId="162DE504" w14:textId="7A9F3EF3" w:rsidR="006929DC" w:rsidRPr="0066333B" w:rsidRDefault="006929DC" w:rsidP="006929DC">
      <w:pPr>
        <w:pStyle w:val="Amain"/>
      </w:pPr>
      <w:r w:rsidRPr="0066333B">
        <w:tab/>
        <w:t>(</w:t>
      </w:r>
      <w:r>
        <w:t>3</w:t>
      </w:r>
      <w:r w:rsidRPr="0066333B">
        <w:t>)</w:t>
      </w:r>
      <w:r w:rsidRPr="0066333B">
        <w:tab/>
        <w:t>The indexation day for the amount mentioned in section 13C (c) that is to be AWE indexed is 1 October.</w:t>
      </w:r>
    </w:p>
    <w:p w14:paraId="5F8CE34C" w14:textId="77777777" w:rsidR="00965AB2" w:rsidRPr="0040482C" w:rsidRDefault="0040482C" w:rsidP="0040482C">
      <w:pPr>
        <w:pStyle w:val="AH5Sec"/>
        <w:rPr>
          <w:rStyle w:val="charItals"/>
        </w:rPr>
      </w:pPr>
      <w:bookmarkStart w:id="17" w:name="_Toc153373686"/>
      <w:r w:rsidRPr="009F0332">
        <w:rPr>
          <w:rStyle w:val="CharSectNo"/>
        </w:rPr>
        <w:t>8</w:t>
      </w:r>
      <w:r w:rsidRPr="0040482C">
        <w:rPr>
          <w:rStyle w:val="charItals"/>
          <w:i w:val="0"/>
        </w:rPr>
        <w:tab/>
      </w:r>
      <w:r w:rsidR="00965AB2" w:rsidRPr="0040482C">
        <w:t>AWE indexation factor</w:t>
      </w:r>
      <w:r w:rsidR="005B46A1" w:rsidRPr="0040482C">
        <w:t>—income replacement benefits</w:t>
      </w:r>
      <w:r w:rsidR="00965AB2" w:rsidRPr="0040482C">
        <w:t>—Act, s 1</w:t>
      </w:r>
      <w:r w:rsidR="00D14374" w:rsidRPr="0040482C">
        <w:t>9</w:t>
      </w:r>
      <w:r w:rsidR="00965AB2" w:rsidRPr="0040482C">
        <w:t xml:space="preserve"> (3), def </w:t>
      </w:r>
      <w:r w:rsidR="00965AB2" w:rsidRPr="0040482C">
        <w:rPr>
          <w:rStyle w:val="charItals"/>
        </w:rPr>
        <w:t>AWE indexation factor</w:t>
      </w:r>
      <w:bookmarkEnd w:id="17"/>
    </w:p>
    <w:p w14:paraId="3AF8CAB4" w14:textId="77680746" w:rsidR="00965AB2" w:rsidRPr="0040482C" w:rsidRDefault="0040482C" w:rsidP="0040482C">
      <w:pPr>
        <w:pStyle w:val="Amain"/>
      </w:pPr>
      <w:r>
        <w:tab/>
      </w:r>
      <w:r w:rsidRPr="0040482C">
        <w:t>(1)</w:t>
      </w:r>
      <w:r w:rsidRPr="0040482C">
        <w:tab/>
      </w:r>
      <w:r w:rsidR="005B46A1" w:rsidRPr="0040482C">
        <w:t xml:space="preserve">This section applies to an amount to be AWE indexed </w:t>
      </w:r>
      <w:r w:rsidR="007438C8" w:rsidRPr="0040482C">
        <w:t xml:space="preserve">(an </w:t>
      </w:r>
      <w:r w:rsidR="007438C8" w:rsidRPr="0040482C">
        <w:rPr>
          <w:rStyle w:val="charBoldItals"/>
        </w:rPr>
        <w:t>AWE indexed amount</w:t>
      </w:r>
      <w:r w:rsidR="007438C8" w:rsidRPr="0040482C">
        <w:t xml:space="preserve">) </w:t>
      </w:r>
      <w:r w:rsidR="00D04257" w:rsidRPr="0040482C">
        <w:t xml:space="preserve">on an indexation day for the amount </w:t>
      </w:r>
      <w:r w:rsidR="005B46A1" w:rsidRPr="0040482C">
        <w:t xml:space="preserve">under the following sections of the </w:t>
      </w:r>
      <w:hyperlink r:id="rId38" w:tooltip="Motor Accident Injuries Act 2019" w:history="1">
        <w:r w:rsidR="007E35BD" w:rsidRPr="008C00DC">
          <w:rPr>
            <w:rStyle w:val="charCitHyperlinkAbbrev"/>
          </w:rPr>
          <w:t>Act</w:t>
        </w:r>
      </w:hyperlink>
      <w:r w:rsidR="005B46A1" w:rsidRPr="0040482C">
        <w:t>:</w:t>
      </w:r>
    </w:p>
    <w:p w14:paraId="75852B09" w14:textId="77777777" w:rsidR="005B46A1" w:rsidRPr="0040482C" w:rsidRDefault="0040482C" w:rsidP="0040482C">
      <w:pPr>
        <w:pStyle w:val="Apara"/>
      </w:pPr>
      <w:r>
        <w:tab/>
      </w:r>
      <w:r w:rsidRPr="0040482C">
        <w:t>(a)</w:t>
      </w:r>
      <w:r w:rsidRPr="0040482C">
        <w:tab/>
      </w:r>
      <w:r w:rsidR="005B46A1" w:rsidRPr="0040482C">
        <w:t>section 9</w:t>
      </w:r>
      <w:r w:rsidR="00354644" w:rsidRPr="0040482C">
        <w:t>6</w:t>
      </w:r>
      <w:r w:rsidR="005B46A1" w:rsidRPr="0040482C">
        <w:t xml:space="preserve"> (Amount of income replacement benefits—first payment period);</w:t>
      </w:r>
    </w:p>
    <w:p w14:paraId="10D0FBB2" w14:textId="77777777" w:rsidR="005B46A1" w:rsidRPr="0040482C" w:rsidRDefault="0040482C" w:rsidP="0040482C">
      <w:pPr>
        <w:pStyle w:val="Apara"/>
      </w:pPr>
      <w:r>
        <w:tab/>
      </w:r>
      <w:r w:rsidRPr="0040482C">
        <w:t>(b)</w:t>
      </w:r>
      <w:r w:rsidRPr="0040482C">
        <w:tab/>
      </w:r>
      <w:r w:rsidR="005B46A1" w:rsidRPr="0040482C">
        <w:t>section 9</w:t>
      </w:r>
      <w:r w:rsidR="00354644" w:rsidRPr="0040482C">
        <w:t>7</w:t>
      </w:r>
      <w:r w:rsidR="005B46A1" w:rsidRPr="0040482C">
        <w:t xml:space="preserve"> (Amount of income replacement benefits—second payment period);</w:t>
      </w:r>
    </w:p>
    <w:p w14:paraId="3C54A638" w14:textId="77777777" w:rsidR="005B46A1" w:rsidRPr="0040482C" w:rsidRDefault="0040482C" w:rsidP="0040482C">
      <w:pPr>
        <w:pStyle w:val="Apara"/>
      </w:pPr>
      <w:r>
        <w:tab/>
      </w:r>
      <w:r w:rsidRPr="0040482C">
        <w:t>(c)</w:t>
      </w:r>
      <w:r w:rsidRPr="0040482C">
        <w:tab/>
      </w:r>
      <w:r w:rsidR="005B46A1" w:rsidRPr="0040482C">
        <w:t>section 10</w:t>
      </w:r>
      <w:r w:rsidR="00354644" w:rsidRPr="0040482C">
        <w:t>3</w:t>
      </w:r>
      <w:r w:rsidR="005B46A1" w:rsidRPr="0040482C">
        <w:t xml:space="preserve"> (Income replacement benefits—interim weekly payments).</w:t>
      </w:r>
    </w:p>
    <w:p w14:paraId="167981EC" w14:textId="77777777" w:rsidR="007438C8" w:rsidRPr="0040482C" w:rsidRDefault="0040482C" w:rsidP="00904D05">
      <w:pPr>
        <w:pStyle w:val="Amain"/>
        <w:keepNext/>
      </w:pPr>
      <w:r>
        <w:tab/>
      </w:r>
      <w:r w:rsidRPr="0040482C">
        <w:t>(2)</w:t>
      </w:r>
      <w:r w:rsidRPr="0040482C">
        <w:tab/>
      </w:r>
      <w:r w:rsidR="00B5784B" w:rsidRPr="0040482C">
        <w:t xml:space="preserve">The AWE indexation factor </w:t>
      </w:r>
      <w:r w:rsidR="00EF7CA8" w:rsidRPr="0040482C">
        <w:t xml:space="preserve">for an AWE indexed amount on an indexation day </w:t>
      </w:r>
      <w:r w:rsidR="00B5784B" w:rsidRPr="0040482C">
        <w:t xml:space="preserve">is </w:t>
      </w:r>
      <w:r w:rsidR="00EF7CA8" w:rsidRPr="0040482C">
        <w:t xml:space="preserve">the factor </w:t>
      </w:r>
      <w:r w:rsidR="00B5784B" w:rsidRPr="0040482C">
        <w:t>worked out using the following formula and applying subsections (</w:t>
      </w:r>
      <w:r w:rsidR="00F530F3" w:rsidRPr="0040482C">
        <w:t>4</w:t>
      </w:r>
      <w:r w:rsidR="00B5784B" w:rsidRPr="0040482C">
        <w:t>) and (</w:t>
      </w:r>
      <w:r w:rsidR="00F530F3" w:rsidRPr="0040482C">
        <w:t>5</w:t>
      </w:r>
      <w:r w:rsidR="00B5784B" w:rsidRPr="0040482C">
        <w:t>):</w:t>
      </w:r>
    </w:p>
    <w:p w14:paraId="4E79EA77" w14:textId="77777777" w:rsidR="00EF7CA8" w:rsidRPr="0040482C" w:rsidRDefault="00A973EB" w:rsidP="00EF7CA8">
      <w:pPr>
        <w:pStyle w:val="Formula"/>
        <w:rPr>
          <w:rStyle w:val="charItals"/>
        </w:rPr>
      </w:pPr>
      <m:oMath>
        <m:f>
          <m:fPr>
            <m:ctrlPr>
              <w:rPr>
                <w:rStyle w:val="charItals"/>
                <w:rFonts w:ascii="Cambria Math" w:hAnsi="Cambria Math"/>
                <w:i w:val="0"/>
              </w:rPr>
            </m:ctrlPr>
          </m:fPr>
          <m:num>
            <m:sSup>
              <m:sSupPr>
                <m:ctrlPr>
                  <w:rPr>
                    <w:rStyle w:val="charItals"/>
                    <w:rFonts w:ascii="Cambria Math" w:hAnsi="Cambria Math"/>
                    <w:i w:val="0"/>
                  </w:rPr>
                </m:ctrlPr>
              </m:sSupPr>
              <m:e>
                <m:r>
                  <m:rPr>
                    <m:nor/>
                  </m:rPr>
                  <w:rPr>
                    <w:rStyle w:val="charItals"/>
                    <w:i w:val="0"/>
                    <w:iCs/>
                    <w:sz w:val="32"/>
                    <w:szCs w:val="32"/>
                  </w:rPr>
                  <m:t>AWE</m:t>
                </m:r>
              </m:e>
              <m:sup>
                <m:r>
                  <m:rPr>
                    <m:nor/>
                  </m:rPr>
                  <w:rPr>
                    <w:rStyle w:val="charItals"/>
                    <w:i w:val="0"/>
                    <w:sz w:val="28"/>
                    <w:szCs w:val="28"/>
                  </w:rPr>
                  <m:t>1</m:t>
                </m:r>
              </m:sup>
            </m:sSup>
          </m:num>
          <m:den>
            <m:sSup>
              <m:sSupPr>
                <m:ctrlPr>
                  <w:rPr>
                    <w:rStyle w:val="charItals"/>
                    <w:rFonts w:ascii="Cambria Math" w:hAnsi="Cambria Math"/>
                    <w:i w:val="0"/>
                  </w:rPr>
                </m:ctrlPr>
              </m:sSupPr>
              <m:e>
                <m:r>
                  <m:rPr>
                    <m:nor/>
                  </m:rPr>
                  <w:rPr>
                    <w:rStyle w:val="charItals"/>
                    <w:i w:val="0"/>
                    <w:sz w:val="32"/>
                    <w:szCs w:val="32"/>
                  </w:rPr>
                  <m:t>AWE</m:t>
                </m:r>
              </m:e>
              <m:sup>
                <m:r>
                  <m:rPr>
                    <m:nor/>
                  </m:rPr>
                  <w:rPr>
                    <w:rStyle w:val="charItals"/>
                    <w:i w:val="0"/>
                    <w:sz w:val="28"/>
                    <w:szCs w:val="28"/>
                  </w:rPr>
                  <m:t>2</m:t>
                </m:r>
              </m:sup>
            </m:sSup>
          </m:den>
        </m:f>
        <m:r>
          <m:rPr>
            <m:nor/>
          </m:rPr>
          <w:rPr>
            <w:rStyle w:val="charItals"/>
            <w:i w:val="0"/>
          </w:rPr>
          <m:t xml:space="preserve"> </m:t>
        </m:r>
      </m:oMath>
      <w:r w:rsidR="00EF7CA8" w:rsidRPr="0040482C">
        <w:rPr>
          <w:rStyle w:val="charItals"/>
        </w:rPr>
        <w:t xml:space="preserve"> </w:t>
      </w:r>
    </w:p>
    <w:p w14:paraId="3624A5C2" w14:textId="77777777" w:rsidR="00EF7CA8" w:rsidRPr="0040482C" w:rsidRDefault="00EF7CA8" w:rsidP="0040482C">
      <w:pPr>
        <w:pStyle w:val="aDef"/>
      </w:pPr>
      <w:r w:rsidRPr="0040482C">
        <w:rPr>
          <w:rStyle w:val="charBoldItals"/>
        </w:rPr>
        <w:t>AWE</w:t>
      </w:r>
      <w:r w:rsidRPr="007E35BD">
        <w:rPr>
          <w:rStyle w:val="charBoldItals"/>
          <w:vertAlign w:val="superscript"/>
        </w:rPr>
        <w:t>1</w:t>
      </w:r>
      <w:r w:rsidRPr="0040482C">
        <w:t xml:space="preserve"> means the AWE published for the period ending immediately before the indexation day.</w:t>
      </w:r>
    </w:p>
    <w:p w14:paraId="36F7C4BD" w14:textId="77777777" w:rsidR="00EF7CA8" w:rsidRPr="0040482C" w:rsidRDefault="00EF7CA8" w:rsidP="0040482C">
      <w:pPr>
        <w:pStyle w:val="aDef"/>
      </w:pPr>
      <w:r w:rsidRPr="0040482C">
        <w:rPr>
          <w:rStyle w:val="charBoldItals"/>
        </w:rPr>
        <w:lastRenderedPageBreak/>
        <w:t>AWE</w:t>
      </w:r>
      <w:r w:rsidRPr="007E35BD">
        <w:rPr>
          <w:rStyle w:val="charBoldItals"/>
          <w:vertAlign w:val="superscript"/>
        </w:rPr>
        <w:t>2</w:t>
      </w:r>
      <w:r w:rsidRPr="000043C2">
        <w:rPr>
          <w:rStyle w:val="charBoldItals"/>
          <w:b w:val="0"/>
          <w:bCs/>
          <w:i w:val="0"/>
          <w:iCs/>
        </w:rPr>
        <w:t xml:space="preserve"> </w:t>
      </w:r>
      <w:r w:rsidRPr="0040482C">
        <w:t>means the AWE published for the period ending 6 months before the indexation day.</w:t>
      </w:r>
    </w:p>
    <w:p w14:paraId="5A436884" w14:textId="77777777" w:rsidR="00F530F3" w:rsidRPr="0040482C" w:rsidRDefault="0040482C" w:rsidP="0040482C">
      <w:pPr>
        <w:pStyle w:val="Amain"/>
      </w:pPr>
      <w:r>
        <w:tab/>
      </w:r>
      <w:r w:rsidRPr="0040482C">
        <w:t>(3)</w:t>
      </w:r>
      <w:r w:rsidRPr="0040482C">
        <w:tab/>
      </w:r>
      <w:r w:rsidR="00F530F3" w:rsidRPr="0040482C">
        <w:t>However, if</w:t>
      </w:r>
      <w:r w:rsidR="00F84CCA" w:rsidRPr="0040482C">
        <w:t>,</w:t>
      </w:r>
      <w:r w:rsidR="00F530F3" w:rsidRPr="0040482C">
        <w:t xml:space="preserve"> </w:t>
      </w:r>
      <w:r w:rsidR="00F84CCA" w:rsidRPr="0040482C">
        <w:t xml:space="preserve">on an indexation day for an AWE indexed amount, </w:t>
      </w:r>
      <w:r w:rsidR="00F530F3" w:rsidRPr="0040482C">
        <w:t xml:space="preserve">the </w:t>
      </w:r>
      <w:r w:rsidR="000D0E45" w:rsidRPr="0040482C">
        <w:t xml:space="preserve">effect of a negative adjustment </w:t>
      </w:r>
      <w:r w:rsidR="00F84CCA" w:rsidRPr="0040482C">
        <w:t>is</w:t>
      </w:r>
      <w:r w:rsidR="000D0E45" w:rsidRPr="0040482C">
        <w:t xml:space="preserve"> to be offset against an increase in line with an adjustment in the AWE</w:t>
      </w:r>
      <w:r w:rsidR="00EF7CA8" w:rsidRPr="0040482C">
        <w:t xml:space="preserve">, </w:t>
      </w:r>
      <w:r w:rsidR="000D0E45" w:rsidRPr="0040482C">
        <w:t>the</w:t>
      </w:r>
      <w:r w:rsidR="00F530F3" w:rsidRPr="0040482C">
        <w:t xml:space="preserve"> AWE indexation factor </w:t>
      </w:r>
      <w:r w:rsidR="007653B8" w:rsidRPr="0040482C">
        <w:t xml:space="preserve">for the amount </w:t>
      </w:r>
      <w:r w:rsidR="00F530F3" w:rsidRPr="0040482C">
        <w:t>is worked out using the following formula and applying subsections (4) and (5):</w:t>
      </w:r>
    </w:p>
    <w:p w14:paraId="670D7255" w14:textId="77777777" w:rsidR="00EF7CA8" w:rsidRPr="0040482C" w:rsidRDefault="00A973EB" w:rsidP="00EF7CA8">
      <w:pPr>
        <w:pStyle w:val="Formula"/>
        <w:rPr>
          <w:rFonts w:ascii="Cambria Math" w:hAnsi="Cambria Math"/>
          <w:i/>
        </w:rPr>
      </w:pPr>
      <m:oMath>
        <m:f>
          <m:fPr>
            <m:ctrlPr>
              <w:rPr>
                <w:rFonts w:ascii="Cambria Math" w:hAnsi="Cambria Math"/>
                <w:i/>
              </w:rPr>
            </m:ctrlPr>
          </m:fPr>
          <m:num>
            <m:sSup>
              <m:sSupPr>
                <m:ctrlPr>
                  <w:rPr>
                    <w:rFonts w:ascii="Cambria Math" w:hAnsi="Cambria Math"/>
                    <w:i/>
                  </w:rPr>
                </m:ctrlPr>
              </m:sSupPr>
              <m:e>
                <m:r>
                  <m:rPr>
                    <m:nor/>
                  </m:rPr>
                  <w:rPr>
                    <w:sz w:val="32"/>
                    <w:szCs w:val="32"/>
                  </w:rPr>
                  <m:t>AWE</m:t>
                </m:r>
              </m:e>
              <m:sup>
                <m:r>
                  <m:rPr>
                    <m:nor/>
                  </m:rPr>
                  <w:rPr>
                    <w:sz w:val="28"/>
                    <w:szCs w:val="28"/>
                  </w:rPr>
                  <m:t>1</m:t>
                </m:r>
              </m:sup>
            </m:sSup>
          </m:num>
          <m:den>
            <m:sSup>
              <m:sSupPr>
                <m:ctrlPr>
                  <w:rPr>
                    <w:rFonts w:ascii="Cambria Math" w:hAnsi="Cambria Math"/>
                    <w:i/>
                  </w:rPr>
                </m:ctrlPr>
              </m:sSupPr>
              <m:e>
                <m:r>
                  <m:rPr>
                    <m:nor/>
                  </m:rPr>
                  <w:rPr>
                    <w:sz w:val="32"/>
                    <w:szCs w:val="32"/>
                  </w:rPr>
                  <m:t>AWE</m:t>
                </m:r>
              </m:e>
              <m:sup>
                <m:r>
                  <m:rPr>
                    <m:nor/>
                  </m:rPr>
                  <w:rPr>
                    <w:sz w:val="28"/>
                    <w:szCs w:val="28"/>
                  </w:rPr>
                  <m:t>3</m:t>
                </m:r>
              </m:sup>
            </m:sSup>
          </m:den>
        </m:f>
        <m:r>
          <m:rPr>
            <m:nor/>
          </m:rPr>
          <w:rPr>
            <w:rFonts w:ascii="Cambria Math" w:hAnsi="Cambria Math"/>
            <w:i/>
          </w:rPr>
          <m:t xml:space="preserve"> </m:t>
        </m:r>
      </m:oMath>
      <w:r w:rsidR="00EF7CA8" w:rsidRPr="0040482C">
        <w:rPr>
          <w:rFonts w:ascii="Cambria Math" w:hAnsi="Cambria Math"/>
          <w:i/>
        </w:rPr>
        <w:t xml:space="preserve"> </w:t>
      </w:r>
    </w:p>
    <w:p w14:paraId="09E813AE" w14:textId="77777777" w:rsidR="00EF7CA8" w:rsidRPr="0040482C" w:rsidRDefault="00EF7CA8" w:rsidP="0040482C">
      <w:pPr>
        <w:pStyle w:val="aDef"/>
      </w:pPr>
      <w:r w:rsidRPr="0040482C">
        <w:rPr>
          <w:rStyle w:val="charBoldItals"/>
        </w:rPr>
        <w:t>AWE</w:t>
      </w:r>
      <w:r w:rsidRPr="007E35BD">
        <w:rPr>
          <w:rStyle w:val="charBoldItals"/>
          <w:vertAlign w:val="superscript"/>
        </w:rPr>
        <w:t>1</w:t>
      </w:r>
      <w:r w:rsidRPr="0040482C">
        <w:t xml:space="preserve"> means the AWE published for the period ending immediately before the indexation day.</w:t>
      </w:r>
    </w:p>
    <w:p w14:paraId="2747A3CC" w14:textId="77777777" w:rsidR="00EF7CA8" w:rsidRPr="0040482C" w:rsidRDefault="00EF7CA8" w:rsidP="0040482C">
      <w:pPr>
        <w:pStyle w:val="aDef"/>
      </w:pPr>
      <w:r w:rsidRPr="0040482C">
        <w:rPr>
          <w:rStyle w:val="charBoldItals"/>
        </w:rPr>
        <w:t>AWE</w:t>
      </w:r>
      <w:r w:rsidRPr="007E35BD">
        <w:rPr>
          <w:rStyle w:val="charBoldItals"/>
          <w:vertAlign w:val="superscript"/>
        </w:rPr>
        <w:t>3</w:t>
      </w:r>
      <w:r w:rsidRPr="000043C2">
        <w:rPr>
          <w:rStyle w:val="charBoldItals"/>
          <w:b w:val="0"/>
          <w:bCs/>
          <w:i w:val="0"/>
          <w:iCs/>
        </w:rPr>
        <w:t xml:space="preserve"> </w:t>
      </w:r>
      <w:r w:rsidRPr="0040482C">
        <w:t>means the AWE published for the period ending 6 m</w:t>
      </w:r>
      <w:r w:rsidR="007653B8" w:rsidRPr="0040482C">
        <w:t>onths before an indexation day when a negative adjustment</w:t>
      </w:r>
      <w:r w:rsidR="000D0E45" w:rsidRPr="0040482C">
        <w:t xml:space="preserve"> that has not been offset</w:t>
      </w:r>
      <w:r w:rsidR="007653B8" w:rsidRPr="0040482C">
        <w:t xml:space="preserve"> first occurred.</w:t>
      </w:r>
    </w:p>
    <w:p w14:paraId="02639BAF" w14:textId="77777777" w:rsidR="004D611D" w:rsidRPr="0040482C" w:rsidRDefault="004D611D" w:rsidP="00AC4906">
      <w:pPr>
        <w:pStyle w:val="aExamHdgss"/>
      </w:pPr>
      <w:r w:rsidRPr="0040482C">
        <w:t>Example—offsetting of negative adjustment</w:t>
      </w:r>
    </w:p>
    <w:p w14:paraId="4258427E" w14:textId="77777777" w:rsidR="004D611D" w:rsidRPr="0040482C" w:rsidRDefault="004D611D" w:rsidP="004D611D">
      <w:pPr>
        <w:pStyle w:val="aExamss"/>
      </w:pPr>
      <w:r w:rsidRPr="0040482C">
        <w:t>The following AWE amounts are published in 2020, 2021 and 2022:</w:t>
      </w:r>
    </w:p>
    <w:p w14:paraId="4EFBC546" w14:textId="77777777" w:rsidR="00F84CCA" w:rsidRPr="0040482C" w:rsidRDefault="004D611D" w:rsidP="004D611D">
      <w:pPr>
        <w:pStyle w:val="AExamIPara"/>
      </w:pPr>
      <w:r w:rsidRPr="0040482C">
        <w:tab/>
        <w:t>(a)</w:t>
      </w:r>
      <w:r w:rsidRPr="0040482C">
        <w:tab/>
        <w:t>for May 2020—$1 680;</w:t>
      </w:r>
    </w:p>
    <w:p w14:paraId="2BCBF5AF" w14:textId="77777777" w:rsidR="004D611D" w:rsidRPr="0040482C" w:rsidRDefault="004D611D" w:rsidP="004D611D">
      <w:pPr>
        <w:pStyle w:val="AExamIPara"/>
      </w:pPr>
      <w:r w:rsidRPr="0040482C">
        <w:tab/>
        <w:t>(b)</w:t>
      </w:r>
      <w:r w:rsidRPr="0040482C">
        <w:tab/>
        <w:t>for November 2020—$1 700;</w:t>
      </w:r>
    </w:p>
    <w:p w14:paraId="4A9CF997" w14:textId="77777777" w:rsidR="004D611D" w:rsidRPr="0040482C" w:rsidRDefault="004D611D" w:rsidP="004D611D">
      <w:pPr>
        <w:pStyle w:val="AExamIPara"/>
      </w:pPr>
      <w:r w:rsidRPr="0040482C">
        <w:tab/>
        <w:t>(c)</w:t>
      </w:r>
      <w:r w:rsidRPr="0040482C">
        <w:tab/>
        <w:t>for May 2021—$1 690;</w:t>
      </w:r>
    </w:p>
    <w:p w14:paraId="031FE67B" w14:textId="77777777" w:rsidR="004D611D" w:rsidRPr="0040482C" w:rsidRDefault="004D611D" w:rsidP="004D611D">
      <w:pPr>
        <w:pStyle w:val="AExamIPara"/>
      </w:pPr>
      <w:r w:rsidRPr="0040482C">
        <w:tab/>
        <w:t>(c)</w:t>
      </w:r>
      <w:r w:rsidRPr="0040482C">
        <w:tab/>
        <w:t>for November 2021—$1 695;</w:t>
      </w:r>
    </w:p>
    <w:p w14:paraId="79D9C13D" w14:textId="77777777" w:rsidR="004D611D" w:rsidRPr="0040482C" w:rsidRDefault="004D611D" w:rsidP="004D611D">
      <w:pPr>
        <w:pStyle w:val="AExamIPara"/>
      </w:pPr>
      <w:r w:rsidRPr="0040482C">
        <w:tab/>
        <w:t>(d)</w:t>
      </w:r>
      <w:r w:rsidRPr="0040482C">
        <w:tab/>
        <w:t>for May 2022—$1 750.</w:t>
      </w:r>
    </w:p>
    <w:p w14:paraId="31D74915" w14:textId="77777777" w:rsidR="0026775D" w:rsidRPr="0040482C" w:rsidRDefault="004D611D" w:rsidP="004D611D">
      <w:pPr>
        <w:pStyle w:val="aExamss"/>
      </w:pPr>
      <w:r w:rsidRPr="0040482C">
        <w:t xml:space="preserve">For the indexation day on 1 October 2021, the AWE indexation factor is </w:t>
      </w:r>
      <w:r w:rsidRPr="0040482C">
        <w:rPr>
          <w:position w:val="4"/>
          <w:sz w:val="16"/>
        </w:rPr>
        <w:t>$1 690</w:t>
      </w:r>
      <w:r w:rsidRPr="0040482C">
        <w:t>/</w:t>
      </w:r>
      <w:r w:rsidRPr="0040482C">
        <w:rPr>
          <w:sz w:val="16"/>
        </w:rPr>
        <w:t>$1 70</w:t>
      </w:r>
      <w:r w:rsidR="0026775D" w:rsidRPr="0040482C">
        <w:rPr>
          <w:sz w:val="16"/>
        </w:rPr>
        <w:t xml:space="preserve">0. </w:t>
      </w:r>
      <w:r w:rsidRPr="0040482C">
        <w:t xml:space="preserve"> </w:t>
      </w:r>
      <w:r w:rsidR="0026775D" w:rsidRPr="0040482C">
        <w:t>Because the AWE indexation factor would be less than 1, the AWE indexation factor for 1 October 2021 is 1.</w:t>
      </w:r>
    </w:p>
    <w:p w14:paraId="2B1B8837" w14:textId="77777777" w:rsidR="004D611D" w:rsidRPr="0040482C" w:rsidRDefault="0026775D" w:rsidP="004D611D">
      <w:pPr>
        <w:pStyle w:val="aExamss"/>
      </w:pPr>
      <w:r w:rsidRPr="0040482C">
        <w:t xml:space="preserve">A negative adjustment applies for the indexation day on 1 April 2022. The indexation factor is </w:t>
      </w:r>
      <w:r w:rsidRPr="0040482C">
        <w:rPr>
          <w:position w:val="4"/>
          <w:sz w:val="16"/>
        </w:rPr>
        <w:t>$1 695</w:t>
      </w:r>
      <w:r w:rsidRPr="0040482C">
        <w:t>/</w:t>
      </w:r>
      <w:r w:rsidRPr="0040482C">
        <w:rPr>
          <w:sz w:val="16"/>
        </w:rPr>
        <w:t>$1 700</w:t>
      </w:r>
      <w:r w:rsidRPr="0040482C">
        <w:t>. Because the AWE indexation factor would be less than 1, the AWE indexation factor for 1 April 2022 is 1.</w:t>
      </w:r>
    </w:p>
    <w:p w14:paraId="5A457ACC" w14:textId="77777777" w:rsidR="0026775D" w:rsidRPr="0040482C" w:rsidRDefault="0026775D" w:rsidP="0040482C">
      <w:pPr>
        <w:pStyle w:val="aExamss"/>
        <w:keepNext/>
      </w:pPr>
      <w:r w:rsidRPr="0040482C">
        <w:t xml:space="preserve">A negative adjustment also applies for the indexation day on 1 October 2022. The indexation factor is </w:t>
      </w:r>
      <w:r w:rsidRPr="0040482C">
        <w:rPr>
          <w:position w:val="4"/>
          <w:sz w:val="16"/>
        </w:rPr>
        <w:t>$1 750</w:t>
      </w:r>
      <w:r w:rsidRPr="0040482C">
        <w:t>/</w:t>
      </w:r>
      <w:r w:rsidRPr="0040482C">
        <w:rPr>
          <w:sz w:val="16"/>
        </w:rPr>
        <w:t>$1 700</w:t>
      </w:r>
      <w:r w:rsidRPr="0040482C">
        <w:t>. The negative adjustment is now fully offset and the AWE indexation factor for 1 October 2022 is 1.02941 rounded to 1.029.</w:t>
      </w:r>
    </w:p>
    <w:p w14:paraId="3684D5A0" w14:textId="33A453AB" w:rsidR="00F530F3" w:rsidRPr="0040482C" w:rsidRDefault="00F530F3" w:rsidP="00F530F3">
      <w:pPr>
        <w:pStyle w:val="aNote"/>
      </w:pPr>
      <w:r w:rsidRPr="0040482C">
        <w:rPr>
          <w:i/>
        </w:rPr>
        <w:t>Note</w:t>
      </w:r>
      <w:r w:rsidRPr="0040482C">
        <w:rPr>
          <w:i/>
        </w:rPr>
        <w:tab/>
      </w:r>
      <w:r w:rsidRPr="0040482C">
        <w:t xml:space="preserve">The </w:t>
      </w:r>
      <w:hyperlink r:id="rId39" w:tooltip="Motor Accident Injuries Act 2019" w:history="1">
        <w:r w:rsidR="008C00DC" w:rsidRPr="008C00DC">
          <w:rPr>
            <w:rStyle w:val="charCitHyperlinkAbbrev"/>
          </w:rPr>
          <w:t>Act</w:t>
        </w:r>
      </w:hyperlink>
      <w:r w:rsidRPr="0040482C">
        <w:t>, s 1</w:t>
      </w:r>
      <w:r w:rsidR="00354644" w:rsidRPr="0040482C">
        <w:t>8</w:t>
      </w:r>
      <w:r w:rsidRPr="0040482C">
        <w:t xml:space="preserve"> sets out what happens if an amount to be AWE indexed would, if adjusted in line with a negative adjustment to the AWE, become smaller.</w:t>
      </w:r>
    </w:p>
    <w:p w14:paraId="21043C16" w14:textId="77777777" w:rsidR="00564D48" w:rsidRPr="0040482C" w:rsidRDefault="0040482C" w:rsidP="0040482C">
      <w:pPr>
        <w:pStyle w:val="Amain"/>
      </w:pPr>
      <w:r>
        <w:lastRenderedPageBreak/>
        <w:tab/>
      </w:r>
      <w:r w:rsidRPr="0040482C">
        <w:t>(4)</w:t>
      </w:r>
      <w:r w:rsidRPr="0040482C">
        <w:tab/>
      </w:r>
      <w:r w:rsidR="00A66A4C" w:rsidRPr="0040482C">
        <w:t>The AWE indexation factor for the AWE indexed amount</w:t>
      </w:r>
      <w:r w:rsidR="008E18D7" w:rsidRPr="0040482C">
        <w:t xml:space="preserve"> must be</w:t>
      </w:r>
      <w:r w:rsidR="00B5784B" w:rsidRPr="0040482C">
        <w:t>—</w:t>
      </w:r>
    </w:p>
    <w:p w14:paraId="3A81CD1E" w14:textId="77777777" w:rsidR="00A66A4C" w:rsidRPr="0040482C" w:rsidRDefault="0040482C" w:rsidP="0040482C">
      <w:pPr>
        <w:pStyle w:val="Apara"/>
      </w:pPr>
      <w:r>
        <w:tab/>
      </w:r>
      <w:r w:rsidRPr="0040482C">
        <w:t>(a)</w:t>
      </w:r>
      <w:r w:rsidRPr="0040482C">
        <w:tab/>
      </w:r>
      <w:r w:rsidR="00B5784B" w:rsidRPr="0040482C">
        <w:t>worked out</w:t>
      </w:r>
      <w:r w:rsidR="00564D48" w:rsidRPr="0040482C">
        <w:t xml:space="preserve"> to 3 decimal places; </w:t>
      </w:r>
      <w:r w:rsidR="00B5784B" w:rsidRPr="0040482C">
        <w:t>and</w:t>
      </w:r>
    </w:p>
    <w:p w14:paraId="20A6C96C" w14:textId="77777777" w:rsidR="00564D48" w:rsidRPr="0040482C" w:rsidRDefault="0040482C" w:rsidP="0040482C">
      <w:pPr>
        <w:pStyle w:val="Apara"/>
      </w:pPr>
      <w:r>
        <w:tab/>
      </w:r>
      <w:r w:rsidRPr="0040482C">
        <w:t>(b)</w:t>
      </w:r>
      <w:r w:rsidRPr="0040482C">
        <w:tab/>
      </w:r>
      <w:r w:rsidR="00BF2266" w:rsidRPr="0040482C">
        <w:t>if the 4th decimal place is 5 or more—</w:t>
      </w:r>
      <w:r w:rsidR="00564D48" w:rsidRPr="0040482C">
        <w:t>rounded up.</w:t>
      </w:r>
    </w:p>
    <w:p w14:paraId="3989FFB0" w14:textId="77777777" w:rsidR="00B5784B" w:rsidRPr="0040482C" w:rsidRDefault="0040482C" w:rsidP="0040482C">
      <w:pPr>
        <w:pStyle w:val="Amain"/>
      </w:pPr>
      <w:r>
        <w:tab/>
      </w:r>
      <w:r w:rsidRPr="0040482C">
        <w:t>(5)</w:t>
      </w:r>
      <w:r w:rsidRPr="0040482C">
        <w:tab/>
      </w:r>
      <w:r w:rsidR="00B5784B" w:rsidRPr="0040482C">
        <w:t xml:space="preserve">If </w:t>
      </w:r>
      <w:r w:rsidR="00C67401" w:rsidRPr="0040482C">
        <w:t>the</w:t>
      </w:r>
      <w:r w:rsidR="00B5784B" w:rsidRPr="0040482C">
        <w:t xml:space="preserve"> AWE indexation factor worked out under subsection</w:t>
      </w:r>
      <w:r w:rsidR="00C67401" w:rsidRPr="0040482C">
        <w:t> </w:t>
      </w:r>
      <w:r w:rsidR="00B5784B" w:rsidRPr="0040482C">
        <w:t>(2)</w:t>
      </w:r>
      <w:r w:rsidR="000D0E45" w:rsidRPr="0040482C">
        <w:t xml:space="preserve"> or (3) </w:t>
      </w:r>
      <w:r w:rsidR="00B5784B" w:rsidRPr="0040482C">
        <w:t xml:space="preserve">would be less than 1, the </w:t>
      </w:r>
      <w:r w:rsidR="00C67401" w:rsidRPr="0040482C">
        <w:t xml:space="preserve">AWE </w:t>
      </w:r>
      <w:r w:rsidR="00B5784B" w:rsidRPr="0040482C">
        <w:t xml:space="preserve">indexation factor </w:t>
      </w:r>
      <w:r w:rsidR="00C67401" w:rsidRPr="0040482C">
        <w:t>is</w:t>
      </w:r>
      <w:r w:rsidR="000D0E45" w:rsidRPr="0040482C">
        <w:t> </w:t>
      </w:r>
      <w:r w:rsidR="00B5784B" w:rsidRPr="0040482C">
        <w:t xml:space="preserve">1. </w:t>
      </w:r>
    </w:p>
    <w:p w14:paraId="7E22D967" w14:textId="77777777" w:rsidR="00E810B6" w:rsidRPr="0040482C" w:rsidRDefault="0040482C" w:rsidP="0040482C">
      <w:pPr>
        <w:pStyle w:val="AH5Sec"/>
        <w:rPr>
          <w:rStyle w:val="charItals"/>
        </w:rPr>
      </w:pPr>
      <w:bookmarkStart w:id="18" w:name="_Toc153373687"/>
      <w:r w:rsidRPr="009F0332">
        <w:rPr>
          <w:rStyle w:val="CharSectNo"/>
        </w:rPr>
        <w:t>9</w:t>
      </w:r>
      <w:r w:rsidRPr="0040482C">
        <w:rPr>
          <w:rStyle w:val="charItals"/>
          <w:i w:val="0"/>
        </w:rPr>
        <w:tab/>
      </w:r>
      <w:r w:rsidR="00E810B6" w:rsidRPr="0040482C">
        <w:t>AWE indexation factor—amounts indexed annually—Act, s 1</w:t>
      </w:r>
      <w:r w:rsidR="00354644" w:rsidRPr="0040482C">
        <w:t>9</w:t>
      </w:r>
      <w:r w:rsidR="00E810B6" w:rsidRPr="0040482C">
        <w:t xml:space="preserve"> (3), def </w:t>
      </w:r>
      <w:r w:rsidR="00E810B6" w:rsidRPr="0040482C">
        <w:rPr>
          <w:rStyle w:val="charItals"/>
        </w:rPr>
        <w:t>AWE indexation factor</w:t>
      </w:r>
      <w:bookmarkEnd w:id="18"/>
    </w:p>
    <w:p w14:paraId="19FB35CA" w14:textId="741840F5" w:rsidR="00E810B6" w:rsidRPr="0040482C" w:rsidRDefault="0040482C" w:rsidP="0040482C">
      <w:pPr>
        <w:pStyle w:val="Amain"/>
      </w:pPr>
      <w:r>
        <w:tab/>
      </w:r>
      <w:r w:rsidRPr="0040482C">
        <w:t>(1)</w:t>
      </w:r>
      <w:r w:rsidRPr="0040482C">
        <w:tab/>
      </w:r>
      <w:r w:rsidR="00E810B6" w:rsidRPr="0040482C">
        <w:t xml:space="preserve">This section applies to an amount to be AWE indexed (an </w:t>
      </w:r>
      <w:r w:rsidR="00E810B6" w:rsidRPr="0040482C">
        <w:rPr>
          <w:rStyle w:val="charBoldItals"/>
        </w:rPr>
        <w:t>AWE indexed amount</w:t>
      </w:r>
      <w:r w:rsidR="00E810B6" w:rsidRPr="0040482C">
        <w:t xml:space="preserve">) on an indexation day for the amount under the following sections of the </w:t>
      </w:r>
      <w:hyperlink r:id="rId40" w:tooltip="Motor Accident Injuries Act 2019" w:history="1">
        <w:r w:rsidR="000043C2" w:rsidRPr="008C00DC">
          <w:rPr>
            <w:rStyle w:val="charCitHyperlinkAbbrev"/>
          </w:rPr>
          <w:t>Act</w:t>
        </w:r>
      </w:hyperlink>
      <w:r w:rsidR="00E810B6" w:rsidRPr="0040482C">
        <w:t>:</w:t>
      </w:r>
    </w:p>
    <w:p w14:paraId="554B331D" w14:textId="77777777" w:rsidR="007D33B8" w:rsidRPr="0040482C" w:rsidRDefault="0040482C" w:rsidP="0040482C">
      <w:pPr>
        <w:pStyle w:val="Apara"/>
      </w:pPr>
      <w:r>
        <w:tab/>
      </w:r>
      <w:r w:rsidRPr="0040482C">
        <w:t>(a)</w:t>
      </w:r>
      <w:r w:rsidRPr="0040482C">
        <w:tab/>
      </w:r>
      <w:r w:rsidR="007D33B8" w:rsidRPr="0040482C">
        <w:t>section 1</w:t>
      </w:r>
      <w:r w:rsidR="00354644" w:rsidRPr="0040482C">
        <w:t>39</w:t>
      </w:r>
      <w:r w:rsidR="007D33B8" w:rsidRPr="0040482C">
        <w:t> (5) (a) (Insurer believes injuries stable but no permanent impairment);</w:t>
      </w:r>
    </w:p>
    <w:p w14:paraId="40F4CA3C" w14:textId="5EFDC311" w:rsidR="007D33B8" w:rsidRPr="0040482C" w:rsidRDefault="0040482C" w:rsidP="0040482C">
      <w:pPr>
        <w:pStyle w:val="Apara"/>
      </w:pPr>
      <w:r>
        <w:tab/>
      </w:r>
      <w:r w:rsidRPr="0040482C">
        <w:t>(b)</w:t>
      </w:r>
      <w:r w:rsidRPr="0040482C">
        <w:tab/>
      </w:r>
      <w:r w:rsidR="007D33B8" w:rsidRPr="0040482C">
        <w:t>section 16</w:t>
      </w:r>
      <w:r w:rsidR="005E2A58">
        <w:t>7</w:t>
      </w:r>
      <w:r w:rsidR="007D33B8" w:rsidRPr="0040482C">
        <w:t xml:space="preserve"> (1) (Amount of quality of life benefits payable);</w:t>
      </w:r>
    </w:p>
    <w:p w14:paraId="09FF2C74" w14:textId="0E8E4170" w:rsidR="007D33B8" w:rsidRPr="0040482C" w:rsidRDefault="0040482C" w:rsidP="0040482C">
      <w:pPr>
        <w:pStyle w:val="Apara"/>
      </w:pPr>
      <w:r>
        <w:tab/>
      </w:r>
      <w:r w:rsidRPr="0040482C">
        <w:t>(c)</w:t>
      </w:r>
      <w:r w:rsidRPr="0040482C">
        <w:tab/>
      </w:r>
      <w:r w:rsidR="007D33B8" w:rsidRPr="0040482C">
        <w:t>section 17</w:t>
      </w:r>
      <w:r w:rsidR="005E2A58">
        <w:t>4</w:t>
      </w:r>
      <w:r w:rsidR="007D33B8" w:rsidRPr="0040482C">
        <w:t xml:space="preserve"> (Amount of death benefits payable);</w:t>
      </w:r>
    </w:p>
    <w:p w14:paraId="1D590AA7" w14:textId="1827D352" w:rsidR="007D33B8" w:rsidRPr="0040482C" w:rsidRDefault="0040482C" w:rsidP="0040482C">
      <w:pPr>
        <w:pStyle w:val="Apara"/>
      </w:pPr>
      <w:r>
        <w:tab/>
      </w:r>
      <w:r w:rsidRPr="0040482C">
        <w:t>(d)</w:t>
      </w:r>
      <w:r w:rsidRPr="0040482C">
        <w:tab/>
      </w:r>
      <w:r w:rsidR="007D33B8" w:rsidRPr="0040482C">
        <w:t>section 1</w:t>
      </w:r>
      <w:r w:rsidR="005E2A58">
        <w:t>81</w:t>
      </w:r>
      <w:r w:rsidR="007D33B8" w:rsidRPr="0040482C">
        <w:t xml:space="preserve"> (Funeral benefits—maximum amount payable);</w:t>
      </w:r>
    </w:p>
    <w:p w14:paraId="7BFA5818" w14:textId="1B18A5D7" w:rsidR="007D33B8" w:rsidRPr="0040482C" w:rsidRDefault="0040482C" w:rsidP="0040482C">
      <w:pPr>
        <w:pStyle w:val="Apara"/>
      </w:pPr>
      <w:r>
        <w:tab/>
      </w:r>
      <w:r w:rsidRPr="0040482C">
        <w:t>(e)</w:t>
      </w:r>
      <w:r w:rsidRPr="0040482C">
        <w:tab/>
      </w:r>
      <w:r w:rsidR="007D33B8" w:rsidRPr="0040482C">
        <w:t>section 2</w:t>
      </w:r>
      <w:r w:rsidR="00354644" w:rsidRPr="0040482C">
        <w:t>4</w:t>
      </w:r>
      <w:r w:rsidR="005E2A58">
        <w:t>3</w:t>
      </w:r>
      <w:r w:rsidR="007D33B8" w:rsidRPr="0040482C">
        <w:t> (Quality of life damages—amount that may be awarded);</w:t>
      </w:r>
    </w:p>
    <w:p w14:paraId="4E129019" w14:textId="42A6D133" w:rsidR="007D33B8" w:rsidRPr="0040482C" w:rsidRDefault="0040482C" w:rsidP="0040482C">
      <w:pPr>
        <w:pStyle w:val="Apara"/>
      </w:pPr>
      <w:r>
        <w:tab/>
      </w:r>
      <w:r w:rsidRPr="0040482C">
        <w:t>(f)</w:t>
      </w:r>
      <w:r w:rsidRPr="0040482C">
        <w:tab/>
      </w:r>
      <w:r w:rsidR="007D33B8" w:rsidRPr="0040482C">
        <w:t>section 2</w:t>
      </w:r>
      <w:r w:rsidR="00354644" w:rsidRPr="0040482C">
        <w:t>4</w:t>
      </w:r>
      <w:r w:rsidR="005E2A58">
        <w:t>4</w:t>
      </w:r>
      <w:r w:rsidR="007D33B8" w:rsidRPr="0040482C">
        <w:t> (2) (Quality of life damages—amount that may be awarded for children);</w:t>
      </w:r>
    </w:p>
    <w:p w14:paraId="392EE0D4" w14:textId="4872674B" w:rsidR="007D33B8" w:rsidRPr="0040482C" w:rsidRDefault="0040482C" w:rsidP="0040482C">
      <w:pPr>
        <w:pStyle w:val="Apara"/>
      </w:pPr>
      <w:r>
        <w:tab/>
      </w:r>
      <w:r w:rsidRPr="0040482C">
        <w:t>(g)</w:t>
      </w:r>
      <w:r w:rsidRPr="0040482C">
        <w:tab/>
      </w:r>
      <w:r w:rsidR="007D33B8" w:rsidRPr="0040482C">
        <w:t>section 2</w:t>
      </w:r>
      <w:r w:rsidR="00354644" w:rsidRPr="0040482C">
        <w:t>7</w:t>
      </w:r>
      <w:r w:rsidR="005E2A58">
        <w:t>6</w:t>
      </w:r>
      <w:r w:rsidR="007D33B8" w:rsidRPr="0040482C">
        <w:t> (1) (Costs—awards of damages over $50 000).</w:t>
      </w:r>
    </w:p>
    <w:p w14:paraId="042CF58B" w14:textId="43118BA3" w:rsidR="00246653" w:rsidRPr="0066333B" w:rsidRDefault="00246653" w:rsidP="00246653">
      <w:pPr>
        <w:pStyle w:val="Amain"/>
      </w:pPr>
      <w:r w:rsidRPr="0066333B">
        <w:tab/>
        <w:t>(</w:t>
      </w:r>
      <w:r>
        <w:t>2</w:t>
      </w:r>
      <w:r w:rsidRPr="0066333B">
        <w:t>)</w:t>
      </w:r>
      <w:r w:rsidRPr="0066333B">
        <w:tab/>
        <w:t>This section also applies to an AWE indexed amount mentioned in the following sections:</w:t>
      </w:r>
    </w:p>
    <w:p w14:paraId="4BD47D48" w14:textId="77777777" w:rsidR="00246653" w:rsidRPr="0066333B" w:rsidRDefault="00246653" w:rsidP="00246653">
      <w:pPr>
        <w:pStyle w:val="Apara"/>
      </w:pPr>
      <w:r w:rsidRPr="0066333B">
        <w:tab/>
        <w:t>(a)</w:t>
      </w:r>
      <w:r w:rsidRPr="0066333B">
        <w:tab/>
        <w:t>section 13C (c);</w:t>
      </w:r>
    </w:p>
    <w:p w14:paraId="31D71E4E" w14:textId="2873A237" w:rsidR="00246653" w:rsidRPr="0066333B" w:rsidRDefault="00246653" w:rsidP="00246653">
      <w:pPr>
        <w:pStyle w:val="Apara"/>
      </w:pPr>
      <w:r w:rsidRPr="0066333B">
        <w:tab/>
        <w:t>(b)</w:t>
      </w:r>
      <w:r w:rsidRPr="0066333B">
        <w:tab/>
      </w:r>
      <w:hyperlink r:id="rId41" w:tooltip="SL2020-10" w:history="1">
        <w:r w:rsidRPr="00246653">
          <w:rPr>
            <w:rStyle w:val="charCitHyperlinkItal"/>
          </w:rPr>
          <w:t>Motor Accident Injuries (ACAT Costs Orders) Regulation 2020</w:t>
        </w:r>
      </w:hyperlink>
      <w:r w:rsidRPr="0066333B">
        <w:t>, section 6 (3).</w:t>
      </w:r>
    </w:p>
    <w:p w14:paraId="5674055F" w14:textId="71958F0A" w:rsidR="00A93890" w:rsidRPr="0040482C" w:rsidRDefault="0040482C" w:rsidP="0040482C">
      <w:pPr>
        <w:pStyle w:val="Amain"/>
      </w:pPr>
      <w:r>
        <w:lastRenderedPageBreak/>
        <w:tab/>
      </w:r>
      <w:r w:rsidRPr="0040482C">
        <w:t>(</w:t>
      </w:r>
      <w:r w:rsidR="00246653">
        <w:t>3</w:t>
      </w:r>
      <w:r w:rsidRPr="0040482C">
        <w:t>)</w:t>
      </w:r>
      <w:r w:rsidRPr="0040482C">
        <w:tab/>
      </w:r>
      <w:r w:rsidR="00A93890" w:rsidRPr="0040482C">
        <w:t>The AWE indexation factor for an AWE indexed amount on an indexation day is the factor worked out using the following formula and applying subsections (</w:t>
      </w:r>
      <w:r w:rsidR="00234C2C">
        <w:t>5</w:t>
      </w:r>
      <w:r w:rsidR="00A93890" w:rsidRPr="0040482C">
        <w:t>) and (</w:t>
      </w:r>
      <w:r w:rsidR="00234C2C">
        <w:t>6</w:t>
      </w:r>
      <w:r w:rsidR="00A93890" w:rsidRPr="0040482C">
        <w:t>):</w:t>
      </w:r>
    </w:p>
    <w:p w14:paraId="3BFEFDFB" w14:textId="77777777" w:rsidR="00A93890" w:rsidRPr="0040482C" w:rsidRDefault="00A973EB" w:rsidP="00A93890">
      <w:pPr>
        <w:pStyle w:val="Formula"/>
      </w:pPr>
      <m:oMath>
        <m:f>
          <m:fPr>
            <m:ctrlPr>
              <w:rPr>
                <w:rFonts w:ascii="Cambria Math" w:hAnsi="Cambria Math"/>
                <w:i/>
              </w:rPr>
            </m:ctrlPr>
          </m:fPr>
          <m:num>
            <m:sSup>
              <m:sSupPr>
                <m:ctrlPr>
                  <w:rPr>
                    <w:rFonts w:ascii="Cambria Math" w:hAnsi="Cambria Math"/>
                    <w:i/>
                  </w:rPr>
                </m:ctrlPr>
              </m:sSupPr>
              <m:e>
                <m:r>
                  <m:rPr>
                    <m:nor/>
                  </m:rPr>
                  <w:rPr>
                    <w:sz w:val="32"/>
                    <w:szCs w:val="32"/>
                  </w:rPr>
                  <m:t>AWE</m:t>
                </m:r>
              </m:e>
              <m:sup>
                <m:r>
                  <m:rPr>
                    <m:nor/>
                  </m:rPr>
                  <w:rPr>
                    <w:sz w:val="28"/>
                    <w:szCs w:val="28"/>
                  </w:rPr>
                  <m:t>1</m:t>
                </m:r>
              </m:sup>
            </m:sSup>
          </m:num>
          <m:den>
            <m:sSup>
              <m:sSupPr>
                <m:ctrlPr>
                  <w:rPr>
                    <w:rFonts w:ascii="Cambria Math" w:hAnsi="Cambria Math"/>
                    <w:i/>
                  </w:rPr>
                </m:ctrlPr>
              </m:sSupPr>
              <m:e>
                <m:r>
                  <m:rPr>
                    <m:nor/>
                  </m:rPr>
                  <w:rPr>
                    <w:sz w:val="32"/>
                    <w:szCs w:val="32"/>
                  </w:rPr>
                  <m:t>AWE</m:t>
                </m:r>
              </m:e>
              <m:sup>
                <m:r>
                  <m:rPr>
                    <m:nor/>
                  </m:rPr>
                  <w:rPr>
                    <w:sz w:val="28"/>
                    <w:szCs w:val="28"/>
                  </w:rPr>
                  <m:t>2</m:t>
                </m:r>
              </m:sup>
            </m:sSup>
          </m:den>
        </m:f>
        <m:r>
          <m:rPr>
            <m:nor/>
          </m:rPr>
          <w:rPr>
            <w:rFonts w:ascii="Cambria Math"/>
          </w:rPr>
          <m:t xml:space="preserve"> </m:t>
        </m:r>
      </m:oMath>
      <w:r w:rsidR="00A93890" w:rsidRPr="0040482C">
        <w:t xml:space="preserve"> </w:t>
      </w:r>
    </w:p>
    <w:p w14:paraId="40625250" w14:textId="77777777" w:rsidR="00A93890" w:rsidRPr="0040482C" w:rsidRDefault="00A93890" w:rsidP="0040482C">
      <w:pPr>
        <w:pStyle w:val="aDef"/>
      </w:pPr>
      <w:r w:rsidRPr="0040482C">
        <w:rPr>
          <w:rStyle w:val="charBoldItals"/>
        </w:rPr>
        <w:t>AWE</w:t>
      </w:r>
      <w:r w:rsidRPr="007E35BD">
        <w:rPr>
          <w:rStyle w:val="charBoldItals"/>
          <w:vertAlign w:val="superscript"/>
        </w:rPr>
        <w:t>1</w:t>
      </w:r>
      <w:r w:rsidRPr="0040482C">
        <w:t xml:space="preserve"> means the AWE published for the period ending immediately before the indexation day.</w:t>
      </w:r>
    </w:p>
    <w:p w14:paraId="16FC8F85" w14:textId="77777777" w:rsidR="00A93890" w:rsidRPr="0040482C" w:rsidRDefault="00A93890" w:rsidP="0040482C">
      <w:pPr>
        <w:pStyle w:val="aDef"/>
      </w:pPr>
      <w:r w:rsidRPr="0040482C">
        <w:rPr>
          <w:rStyle w:val="charBoldItals"/>
        </w:rPr>
        <w:t>AWE</w:t>
      </w:r>
      <w:r w:rsidRPr="007E35BD">
        <w:rPr>
          <w:rStyle w:val="charBoldItals"/>
          <w:vertAlign w:val="superscript"/>
        </w:rPr>
        <w:t>2</w:t>
      </w:r>
      <w:r w:rsidRPr="000043C2">
        <w:rPr>
          <w:rStyle w:val="charBoldItals"/>
          <w:b w:val="0"/>
          <w:bCs/>
          <w:i w:val="0"/>
          <w:iCs/>
        </w:rPr>
        <w:t xml:space="preserve"> </w:t>
      </w:r>
      <w:r w:rsidRPr="0040482C">
        <w:t>means the AWE published for the period ending 12 months before the indexation day.</w:t>
      </w:r>
    </w:p>
    <w:p w14:paraId="721AAD97" w14:textId="7C118C96" w:rsidR="00A93890" w:rsidRPr="0040482C" w:rsidRDefault="0040482C" w:rsidP="0040482C">
      <w:pPr>
        <w:pStyle w:val="Amain"/>
      </w:pPr>
      <w:r>
        <w:tab/>
      </w:r>
      <w:r w:rsidRPr="0040482C">
        <w:t>(</w:t>
      </w:r>
      <w:r w:rsidR="00246653">
        <w:t>4</w:t>
      </w:r>
      <w:r w:rsidRPr="0040482C">
        <w:t>)</w:t>
      </w:r>
      <w:r w:rsidRPr="0040482C">
        <w:tab/>
      </w:r>
      <w:r w:rsidR="00A93890" w:rsidRPr="0040482C">
        <w:t>However, if, on an indexation day for an AWE indexed amount, the effect of a negative adjustment is to be offset against an increase in line with an adjustment in the AWE, the AWE indexation factor for the amount is worked out using the following formula and applying subsections (</w:t>
      </w:r>
      <w:r w:rsidR="00234C2C">
        <w:t>5</w:t>
      </w:r>
      <w:r w:rsidR="00A93890" w:rsidRPr="0040482C">
        <w:t>) and (</w:t>
      </w:r>
      <w:r w:rsidR="00234C2C">
        <w:t>6</w:t>
      </w:r>
      <w:r w:rsidR="00A93890" w:rsidRPr="0040482C">
        <w:t>):</w:t>
      </w:r>
    </w:p>
    <w:p w14:paraId="0482769D" w14:textId="77777777" w:rsidR="00A93890" w:rsidRPr="0040482C" w:rsidRDefault="00A973EB" w:rsidP="00A93890">
      <w:pPr>
        <w:pStyle w:val="Formula"/>
        <w:rPr>
          <w:rFonts w:ascii="Cambria Math" w:hAnsi="Cambria Math"/>
          <w:i/>
        </w:rPr>
      </w:pPr>
      <m:oMath>
        <m:f>
          <m:fPr>
            <m:ctrlPr>
              <w:rPr>
                <w:rFonts w:ascii="Cambria Math" w:hAnsi="Cambria Math"/>
                <w:i/>
              </w:rPr>
            </m:ctrlPr>
          </m:fPr>
          <m:num>
            <m:sSup>
              <m:sSupPr>
                <m:ctrlPr>
                  <w:rPr>
                    <w:rFonts w:ascii="Cambria Math" w:hAnsi="Cambria Math"/>
                    <w:i/>
                  </w:rPr>
                </m:ctrlPr>
              </m:sSupPr>
              <m:e>
                <m:r>
                  <m:rPr>
                    <m:nor/>
                  </m:rPr>
                  <w:rPr>
                    <w:sz w:val="32"/>
                    <w:szCs w:val="32"/>
                  </w:rPr>
                  <m:t>AWE</m:t>
                </m:r>
              </m:e>
              <m:sup>
                <m:r>
                  <m:rPr>
                    <m:nor/>
                  </m:rPr>
                  <w:rPr>
                    <w:sz w:val="28"/>
                    <w:szCs w:val="28"/>
                  </w:rPr>
                  <m:t>1</m:t>
                </m:r>
              </m:sup>
            </m:sSup>
          </m:num>
          <m:den>
            <m:sSup>
              <m:sSupPr>
                <m:ctrlPr>
                  <w:rPr>
                    <w:rFonts w:ascii="Cambria Math" w:hAnsi="Cambria Math"/>
                    <w:i/>
                  </w:rPr>
                </m:ctrlPr>
              </m:sSupPr>
              <m:e>
                <m:r>
                  <m:rPr>
                    <m:nor/>
                  </m:rPr>
                  <w:rPr>
                    <w:sz w:val="32"/>
                    <w:szCs w:val="32"/>
                  </w:rPr>
                  <m:t>AWE</m:t>
                </m:r>
              </m:e>
              <m:sup>
                <m:r>
                  <m:rPr>
                    <m:nor/>
                  </m:rPr>
                  <w:rPr>
                    <w:sz w:val="28"/>
                    <w:szCs w:val="28"/>
                  </w:rPr>
                  <m:t>3</m:t>
                </m:r>
              </m:sup>
            </m:sSup>
          </m:den>
        </m:f>
        <m:r>
          <m:rPr>
            <m:nor/>
          </m:rPr>
          <w:rPr>
            <w:rFonts w:ascii="Cambria Math" w:hAnsi="Cambria Math"/>
            <w:i/>
          </w:rPr>
          <m:t xml:space="preserve"> </m:t>
        </m:r>
      </m:oMath>
      <w:r w:rsidR="00A93890" w:rsidRPr="0040482C">
        <w:rPr>
          <w:rFonts w:ascii="Cambria Math" w:hAnsi="Cambria Math"/>
          <w:i/>
        </w:rPr>
        <w:t xml:space="preserve"> </w:t>
      </w:r>
    </w:p>
    <w:p w14:paraId="1C0D2926" w14:textId="77777777" w:rsidR="00A93890" w:rsidRPr="0040482C" w:rsidRDefault="00A93890" w:rsidP="0040482C">
      <w:pPr>
        <w:pStyle w:val="aDef"/>
      </w:pPr>
      <w:r w:rsidRPr="0040482C">
        <w:rPr>
          <w:rStyle w:val="charBoldItals"/>
        </w:rPr>
        <w:t>AWE</w:t>
      </w:r>
      <w:r w:rsidRPr="007E35BD">
        <w:rPr>
          <w:rStyle w:val="charBoldItals"/>
          <w:vertAlign w:val="superscript"/>
        </w:rPr>
        <w:t>1</w:t>
      </w:r>
      <w:r w:rsidRPr="0040482C">
        <w:t xml:space="preserve"> means the AWE published for the period ending immediately before the indexation day.</w:t>
      </w:r>
    </w:p>
    <w:p w14:paraId="3FF04E8D" w14:textId="77777777" w:rsidR="00A93890" w:rsidRPr="0040482C" w:rsidRDefault="00A93890" w:rsidP="0040482C">
      <w:pPr>
        <w:pStyle w:val="aDef"/>
        <w:keepNext/>
      </w:pPr>
      <w:r w:rsidRPr="0040482C">
        <w:rPr>
          <w:rStyle w:val="charBoldItals"/>
        </w:rPr>
        <w:t>AWE</w:t>
      </w:r>
      <w:r w:rsidRPr="007E35BD">
        <w:rPr>
          <w:rStyle w:val="charBoldItals"/>
          <w:vertAlign w:val="superscript"/>
        </w:rPr>
        <w:t>3</w:t>
      </w:r>
      <w:r w:rsidRPr="000043C2">
        <w:rPr>
          <w:rStyle w:val="charBoldItals"/>
          <w:b w:val="0"/>
          <w:bCs/>
          <w:i w:val="0"/>
          <w:iCs/>
        </w:rPr>
        <w:t xml:space="preserve"> </w:t>
      </w:r>
      <w:r w:rsidRPr="0040482C">
        <w:t>means the AWE published for the period ending 12 months before an indexation day when a negative adjustment that has not been offset first occurred.</w:t>
      </w:r>
    </w:p>
    <w:p w14:paraId="01025676" w14:textId="0E5128C1" w:rsidR="00A93890" w:rsidRPr="0040482C" w:rsidRDefault="00A93890" w:rsidP="00A93890">
      <w:pPr>
        <w:pStyle w:val="aNote"/>
      </w:pPr>
      <w:r w:rsidRPr="0040482C">
        <w:rPr>
          <w:i/>
        </w:rPr>
        <w:t>Note</w:t>
      </w:r>
      <w:r w:rsidRPr="0040482C">
        <w:rPr>
          <w:i/>
        </w:rPr>
        <w:tab/>
      </w:r>
      <w:r w:rsidRPr="0040482C">
        <w:t xml:space="preserve">The </w:t>
      </w:r>
      <w:hyperlink r:id="rId42" w:tooltip="Motor Accident Injuries Act 2019" w:history="1">
        <w:r w:rsidR="00357B54" w:rsidRPr="002639DD">
          <w:rPr>
            <w:rStyle w:val="charCitHyperlinkAbbrev"/>
          </w:rPr>
          <w:t>Act</w:t>
        </w:r>
      </w:hyperlink>
      <w:r w:rsidRPr="0040482C">
        <w:t>, s 1</w:t>
      </w:r>
      <w:r w:rsidR="00354644" w:rsidRPr="0040482C">
        <w:t>8</w:t>
      </w:r>
      <w:r w:rsidRPr="0040482C">
        <w:t xml:space="preserve"> sets out what happens if an amount to be AWE indexed would, if adjusted in line with a negative adjustment to the AWE, become smaller.</w:t>
      </w:r>
    </w:p>
    <w:p w14:paraId="51BB9B2C" w14:textId="72AEB462" w:rsidR="00E810B6" w:rsidRPr="0040482C" w:rsidRDefault="0040482C" w:rsidP="0040482C">
      <w:pPr>
        <w:pStyle w:val="Amain"/>
      </w:pPr>
      <w:r>
        <w:tab/>
      </w:r>
      <w:r w:rsidRPr="0040482C">
        <w:t>(</w:t>
      </w:r>
      <w:r w:rsidR="00246653">
        <w:t>5</w:t>
      </w:r>
      <w:r w:rsidRPr="0040482C">
        <w:t>)</w:t>
      </w:r>
      <w:r w:rsidRPr="0040482C">
        <w:tab/>
      </w:r>
      <w:r w:rsidR="00E810B6" w:rsidRPr="0040482C">
        <w:t>The AWE indexation factor for the AWE indexed amount</w:t>
      </w:r>
      <w:r w:rsidR="008E18D7" w:rsidRPr="0040482C">
        <w:t xml:space="preserve"> must be</w:t>
      </w:r>
      <w:r w:rsidR="00E810B6" w:rsidRPr="0040482C">
        <w:t>—</w:t>
      </w:r>
    </w:p>
    <w:p w14:paraId="253CCA91" w14:textId="77777777" w:rsidR="00E810B6" w:rsidRPr="0040482C" w:rsidRDefault="0040482C" w:rsidP="0040482C">
      <w:pPr>
        <w:pStyle w:val="Apara"/>
      </w:pPr>
      <w:r>
        <w:tab/>
      </w:r>
      <w:r w:rsidRPr="0040482C">
        <w:t>(a)</w:t>
      </w:r>
      <w:r w:rsidRPr="0040482C">
        <w:tab/>
      </w:r>
      <w:r w:rsidR="00E810B6" w:rsidRPr="0040482C">
        <w:t>worked out to 3 decimal places; and</w:t>
      </w:r>
    </w:p>
    <w:p w14:paraId="2833EAFA" w14:textId="77777777" w:rsidR="007D33B8" w:rsidRPr="0040482C" w:rsidRDefault="0040482C" w:rsidP="0040482C">
      <w:pPr>
        <w:pStyle w:val="Apara"/>
      </w:pPr>
      <w:r>
        <w:tab/>
      </w:r>
      <w:r w:rsidRPr="0040482C">
        <w:t>(b)</w:t>
      </w:r>
      <w:r w:rsidRPr="0040482C">
        <w:tab/>
      </w:r>
      <w:r w:rsidR="007D33B8" w:rsidRPr="0040482C">
        <w:t>if the 4th decimal place is 5 or more—rounded up.</w:t>
      </w:r>
    </w:p>
    <w:p w14:paraId="6ACA4B8A" w14:textId="60056BEA" w:rsidR="00E810B6" w:rsidRPr="0040482C" w:rsidRDefault="0040482C" w:rsidP="0040482C">
      <w:pPr>
        <w:pStyle w:val="Amain"/>
      </w:pPr>
      <w:r>
        <w:tab/>
      </w:r>
      <w:r w:rsidRPr="0040482C">
        <w:t>(</w:t>
      </w:r>
      <w:r w:rsidR="00246653">
        <w:t>6</w:t>
      </w:r>
      <w:r w:rsidRPr="0040482C">
        <w:t>)</w:t>
      </w:r>
      <w:r w:rsidRPr="0040482C">
        <w:tab/>
      </w:r>
      <w:r w:rsidR="00E810B6" w:rsidRPr="0040482C">
        <w:t>If the AWE indexation factor worked out under subsection (</w:t>
      </w:r>
      <w:r w:rsidR="00234C2C">
        <w:t>3</w:t>
      </w:r>
      <w:r w:rsidR="00E810B6" w:rsidRPr="0040482C">
        <w:t xml:space="preserve">) </w:t>
      </w:r>
      <w:r w:rsidR="00A93890" w:rsidRPr="0040482C">
        <w:t>or (</w:t>
      </w:r>
      <w:r w:rsidR="00234C2C">
        <w:t>4</w:t>
      </w:r>
      <w:r w:rsidR="00A93890" w:rsidRPr="0040482C">
        <w:t xml:space="preserve">) </w:t>
      </w:r>
      <w:r w:rsidR="00E810B6" w:rsidRPr="0040482C">
        <w:t xml:space="preserve">would be less than 1, the AWE indexation factor is 1. </w:t>
      </w:r>
    </w:p>
    <w:p w14:paraId="6DC0DB5A" w14:textId="77777777" w:rsidR="00FB7B62" w:rsidRPr="0040482C" w:rsidRDefault="0040482C" w:rsidP="0040482C">
      <w:pPr>
        <w:pStyle w:val="AH5Sec"/>
      </w:pPr>
      <w:bookmarkStart w:id="19" w:name="_Toc153373688"/>
      <w:r w:rsidRPr="009F0332">
        <w:rPr>
          <w:rStyle w:val="CharSectNo"/>
        </w:rPr>
        <w:lastRenderedPageBreak/>
        <w:t>10</w:t>
      </w:r>
      <w:r w:rsidRPr="0040482C">
        <w:tab/>
      </w:r>
      <w:r w:rsidR="00347FE2" w:rsidRPr="0040482C">
        <w:t>Adjustment day—Act, s 9</w:t>
      </w:r>
      <w:r w:rsidR="00354644" w:rsidRPr="0040482C">
        <w:t>4</w:t>
      </w:r>
      <w:r w:rsidR="00347FE2" w:rsidRPr="0040482C">
        <w:t xml:space="preserve"> (1), def </w:t>
      </w:r>
      <w:r w:rsidR="00347FE2" w:rsidRPr="0040482C">
        <w:rPr>
          <w:rStyle w:val="charItals"/>
        </w:rPr>
        <w:t xml:space="preserve">AWE </w:t>
      </w:r>
      <w:r w:rsidR="007D33B8" w:rsidRPr="0040482C">
        <w:rPr>
          <w:rStyle w:val="charItals"/>
        </w:rPr>
        <w:t>adjusted</w:t>
      </w:r>
      <w:r w:rsidR="00347FE2" w:rsidRPr="0040482C">
        <w:t>, par (b)</w:t>
      </w:r>
      <w:bookmarkEnd w:id="19"/>
    </w:p>
    <w:p w14:paraId="1AABED08" w14:textId="394069B6" w:rsidR="00347FE2" w:rsidRPr="0040482C" w:rsidRDefault="00347FE2" w:rsidP="009917C6">
      <w:pPr>
        <w:pStyle w:val="Amainreturn"/>
      </w:pPr>
      <w:r w:rsidRPr="0040482C">
        <w:t>The adjustment days for a person’s pre-injury income are 1 April and 1 October.</w:t>
      </w:r>
    </w:p>
    <w:p w14:paraId="7ADC7D71" w14:textId="77777777" w:rsidR="00656D8E" w:rsidRPr="0040482C" w:rsidRDefault="0040482C" w:rsidP="0040482C">
      <w:pPr>
        <w:pStyle w:val="AH5Sec"/>
        <w:rPr>
          <w:rStyle w:val="charItals"/>
        </w:rPr>
      </w:pPr>
      <w:bookmarkStart w:id="20" w:name="_Toc153373689"/>
      <w:r w:rsidRPr="009F0332">
        <w:rPr>
          <w:rStyle w:val="CharSectNo"/>
        </w:rPr>
        <w:t>11</w:t>
      </w:r>
      <w:r w:rsidRPr="0040482C">
        <w:rPr>
          <w:rStyle w:val="charItals"/>
          <w:i w:val="0"/>
        </w:rPr>
        <w:tab/>
      </w:r>
      <w:r w:rsidR="00656D8E" w:rsidRPr="0040482C">
        <w:t>AWE adjustment factor—Act, s 9</w:t>
      </w:r>
      <w:r w:rsidR="00354644" w:rsidRPr="0040482C">
        <w:t>5</w:t>
      </w:r>
      <w:r w:rsidR="00282E88" w:rsidRPr="0040482C">
        <w:t> </w:t>
      </w:r>
      <w:r w:rsidR="00656D8E" w:rsidRPr="0040482C">
        <w:t xml:space="preserve">(3), def </w:t>
      </w:r>
      <w:r w:rsidR="00656D8E" w:rsidRPr="0040482C">
        <w:rPr>
          <w:rStyle w:val="charItals"/>
        </w:rPr>
        <w:t>AWE adjustment factor</w:t>
      </w:r>
      <w:bookmarkEnd w:id="20"/>
    </w:p>
    <w:p w14:paraId="77C543A5" w14:textId="77777777" w:rsidR="004E0390" w:rsidRPr="0040482C" w:rsidRDefault="0040482C" w:rsidP="0040482C">
      <w:pPr>
        <w:pStyle w:val="Amain"/>
      </w:pPr>
      <w:r>
        <w:tab/>
      </w:r>
      <w:r w:rsidRPr="0040482C">
        <w:t>(1)</w:t>
      </w:r>
      <w:r w:rsidRPr="0040482C">
        <w:tab/>
      </w:r>
      <w:r w:rsidR="004E0390" w:rsidRPr="0040482C">
        <w:t>The AWE adjustment factor for an amount of pre-injury income to be adjusted on an adjustment day is the factor worked out using the following formula and applying subsections (3) and (4):</w:t>
      </w:r>
    </w:p>
    <w:p w14:paraId="65C10AD9" w14:textId="77777777" w:rsidR="004E0390" w:rsidRPr="0040482C" w:rsidRDefault="00A973EB" w:rsidP="004E0390">
      <w:pPr>
        <w:pStyle w:val="Formula"/>
      </w:pPr>
      <m:oMath>
        <m:f>
          <m:fPr>
            <m:ctrlPr>
              <w:rPr>
                <w:rFonts w:ascii="Cambria Math" w:hAnsi="Cambria Math"/>
                <w:i/>
              </w:rPr>
            </m:ctrlPr>
          </m:fPr>
          <m:num>
            <m:sSup>
              <m:sSupPr>
                <m:ctrlPr>
                  <w:rPr>
                    <w:rFonts w:ascii="Cambria Math" w:hAnsi="Cambria Math"/>
                    <w:i/>
                  </w:rPr>
                </m:ctrlPr>
              </m:sSupPr>
              <m:e>
                <m:r>
                  <m:rPr>
                    <m:nor/>
                  </m:rPr>
                  <w:rPr>
                    <w:sz w:val="32"/>
                    <w:szCs w:val="32"/>
                  </w:rPr>
                  <m:t>AWE</m:t>
                </m:r>
              </m:e>
              <m:sup>
                <m:r>
                  <m:rPr>
                    <m:nor/>
                  </m:rPr>
                  <w:rPr>
                    <w:sz w:val="28"/>
                    <w:szCs w:val="28"/>
                  </w:rPr>
                  <m:t>1</m:t>
                </m:r>
              </m:sup>
            </m:sSup>
          </m:num>
          <m:den>
            <m:sSup>
              <m:sSupPr>
                <m:ctrlPr>
                  <w:rPr>
                    <w:rFonts w:ascii="Cambria Math" w:hAnsi="Cambria Math"/>
                    <w:i/>
                  </w:rPr>
                </m:ctrlPr>
              </m:sSupPr>
              <m:e>
                <m:r>
                  <m:rPr>
                    <m:nor/>
                  </m:rPr>
                  <w:rPr>
                    <w:sz w:val="32"/>
                    <w:szCs w:val="32"/>
                  </w:rPr>
                  <m:t>AWE</m:t>
                </m:r>
              </m:e>
              <m:sup>
                <m:r>
                  <m:rPr>
                    <m:nor/>
                  </m:rPr>
                  <w:rPr>
                    <w:sz w:val="28"/>
                    <w:szCs w:val="28"/>
                  </w:rPr>
                  <m:t>2</m:t>
                </m:r>
              </m:sup>
            </m:sSup>
          </m:den>
        </m:f>
        <m:r>
          <m:rPr>
            <m:nor/>
          </m:rPr>
          <w:rPr>
            <w:rFonts w:ascii="Cambria Math"/>
          </w:rPr>
          <m:t xml:space="preserve"> </m:t>
        </m:r>
      </m:oMath>
      <w:r w:rsidR="004E0390" w:rsidRPr="0040482C">
        <w:t xml:space="preserve"> </w:t>
      </w:r>
    </w:p>
    <w:p w14:paraId="39CA150D" w14:textId="77777777" w:rsidR="004E0390" w:rsidRPr="0040482C" w:rsidRDefault="004E0390" w:rsidP="0040482C">
      <w:pPr>
        <w:pStyle w:val="aDef"/>
      </w:pPr>
      <w:r w:rsidRPr="0040482C">
        <w:rPr>
          <w:rStyle w:val="charBoldItals"/>
        </w:rPr>
        <w:t>AWE</w:t>
      </w:r>
      <w:r w:rsidRPr="00C9347F">
        <w:rPr>
          <w:rStyle w:val="charBoldItals"/>
          <w:vertAlign w:val="superscript"/>
        </w:rPr>
        <w:t>1</w:t>
      </w:r>
      <w:r w:rsidRPr="0040482C">
        <w:t xml:space="preserve"> means the AWE published for the period ending immediately before the adjustment day.</w:t>
      </w:r>
    </w:p>
    <w:p w14:paraId="189674FB" w14:textId="77777777" w:rsidR="004E0390" w:rsidRPr="0040482C" w:rsidRDefault="004E0390" w:rsidP="0040482C">
      <w:pPr>
        <w:pStyle w:val="aDef"/>
      </w:pPr>
      <w:r w:rsidRPr="0040482C">
        <w:rPr>
          <w:rStyle w:val="charBoldItals"/>
        </w:rPr>
        <w:t>AWE</w:t>
      </w:r>
      <w:r w:rsidRPr="00C9347F">
        <w:rPr>
          <w:rStyle w:val="charBoldItals"/>
          <w:vertAlign w:val="superscript"/>
        </w:rPr>
        <w:t>2</w:t>
      </w:r>
      <w:r w:rsidRPr="00DC19D0">
        <w:rPr>
          <w:rStyle w:val="charBoldItals"/>
          <w:b w:val="0"/>
          <w:bCs/>
          <w:i w:val="0"/>
          <w:iCs/>
        </w:rPr>
        <w:t xml:space="preserve"> </w:t>
      </w:r>
      <w:r w:rsidRPr="0040482C">
        <w:t>means the AWE published for the period ending 6 months before the adjustment day.</w:t>
      </w:r>
    </w:p>
    <w:p w14:paraId="5F12922E" w14:textId="77777777" w:rsidR="004E0390" w:rsidRPr="0040482C" w:rsidRDefault="0040482C" w:rsidP="0040482C">
      <w:pPr>
        <w:pStyle w:val="Amain"/>
      </w:pPr>
      <w:r>
        <w:tab/>
      </w:r>
      <w:r w:rsidRPr="0040482C">
        <w:t>(2)</w:t>
      </w:r>
      <w:r w:rsidRPr="0040482C">
        <w:tab/>
      </w:r>
      <w:r w:rsidR="004E0390" w:rsidRPr="0040482C">
        <w:t xml:space="preserve">However, if, on an adjustment day for an amount of pre-injury income to be adjusted, the effect of a negative adjustment is to be offset against an increase in line with an adjustment in the AWE, the AWE adjustment factor is the factor worked out using the following formula and applying subsections (3) and (4): </w:t>
      </w:r>
    </w:p>
    <w:p w14:paraId="667ED61C" w14:textId="77777777" w:rsidR="004E0390" w:rsidRPr="0040482C" w:rsidRDefault="00A973EB" w:rsidP="004E0390">
      <w:pPr>
        <w:pStyle w:val="Formula"/>
        <w:rPr>
          <w:rFonts w:ascii="Cambria Math" w:hAnsi="Cambria Math"/>
          <w:i/>
        </w:rPr>
      </w:pPr>
      <m:oMath>
        <m:f>
          <m:fPr>
            <m:ctrlPr>
              <w:rPr>
                <w:rFonts w:ascii="Cambria Math" w:hAnsi="Cambria Math"/>
                <w:i/>
              </w:rPr>
            </m:ctrlPr>
          </m:fPr>
          <m:num>
            <m:sSup>
              <m:sSupPr>
                <m:ctrlPr>
                  <w:rPr>
                    <w:rFonts w:ascii="Cambria Math" w:hAnsi="Cambria Math"/>
                    <w:i/>
                  </w:rPr>
                </m:ctrlPr>
              </m:sSupPr>
              <m:e>
                <m:r>
                  <m:rPr>
                    <m:nor/>
                  </m:rPr>
                  <w:rPr>
                    <w:sz w:val="32"/>
                    <w:szCs w:val="32"/>
                  </w:rPr>
                  <m:t>AWE</m:t>
                </m:r>
              </m:e>
              <m:sup>
                <m:r>
                  <m:rPr>
                    <m:nor/>
                  </m:rPr>
                  <w:rPr>
                    <w:sz w:val="28"/>
                    <w:szCs w:val="28"/>
                  </w:rPr>
                  <m:t>1</m:t>
                </m:r>
              </m:sup>
            </m:sSup>
          </m:num>
          <m:den>
            <m:sSup>
              <m:sSupPr>
                <m:ctrlPr>
                  <w:rPr>
                    <w:rFonts w:ascii="Cambria Math" w:hAnsi="Cambria Math"/>
                    <w:i/>
                  </w:rPr>
                </m:ctrlPr>
              </m:sSupPr>
              <m:e>
                <m:r>
                  <m:rPr>
                    <m:nor/>
                  </m:rPr>
                  <w:rPr>
                    <w:sz w:val="32"/>
                    <w:szCs w:val="32"/>
                  </w:rPr>
                  <m:t>AWE</m:t>
                </m:r>
              </m:e>
              <m:sup>
                <m:r>
                  <m:rPr>
                    <m:nor/>
                  </m:rPr>
                  <w:rPr>
                    <w:sz w:val="28"/>
                    <w:szCs w:val="28"/>
                  </w:rPr>
                  <m:t>3</m:t>
                </m:r>
              </m:sup>
            </m:sSup>
          </m:den>
        </m:f>
        <m:r>
          <m:rPr>
            <m:nor/>
          </m:rPr>
          <w:rPr>
            <w:rFonts w:ascii="Cambria Math" w:hAnsi="Cambria Math"/>
            <w:i/>
          </w:rPr>
          <m:t xml:space="preserve"> </m:t>
        </m:r>
      </m:oMath>
      <w:r w:rsidR="004E0390" w:rsidRPr="0040482C">
        <w:rPr>
          <w:rFonts w:ascii="Cambria Math" w:hAnsi="Cambria Math"/>
          <w:i/>
        </w:rPr>
        <w:t xml:space="preserve"> </w:t>
      </w:r>
    </w:p>
    <w:p w14:paraId="2AE8E37D" w14:textId="77777777" w:rsidR="004E0390" w:rsidRPr="0040482C" w:rsidRDefault="004E0390" w:rsidP="0040482C">
      <w:pPr>
        <w:pStyle w:val="aDef"/>
      </w:pPr>
      <w:r w:rsidRPr="0040482C">
        <w:rPr>
          <w:rStyle w:val="charBoldItals"/>
        </w:rPr>
        <w:t>AWE</w:t>
      </w:r>
      <w:r w:rsidRPr="00C9347F">
        <w:rPr>
          <w:rStyle w:val="charBoldItals"/>
          <w:vertAlign w:val="superscript"/>
        </w:rPr>
        <w:t>1</w:t>
      </w:r>
      <w:r w:rsidRPr="0040482C">
        <w:t xml:space="preserve"> means the AWE published for the period ending immediately before the adjustment day.</w:t>
      </w:r>
    </w:p>
    <w:p w14:paraId="436BFACA" w14:textId="77777777" w:rsidR="004E0390" w:rsidRPr="0040482C" w:rsidRDefault="004E0390" w:rsidP="0040482C">
      <w:pPr>
        <w:pStyle w:val="aDef"/>
        <w:keepNext/>
      </w:pPr>
      <w:r w:rsidRPr="0040482C">
        <w:rPr>
          <w:rStyle w:val="charBoldItals"/>
        </w:rPr>
        <w:t>AWE</w:t>
      </w:r>
      <w:r w:rsidRPr="00C9347F">
        <w:rPr>
          <w:rStyle w:val="charBoldItals"/>
          <w:vertAlign w:val="superscript"/>
        </w:rPr>
        <w:t>3</w:t>
      </w:r>
      <w:r w:rsidRPr="00DC19D0">
        <w:rPr>
          <w:rStyle w:val="charBoldItals"/>
          <w:b w:val="0"/>
          <w:bCs/>
          <w:i w:val="0"/>
          <w:iCs/>
        </w:rPr>
        <w:t xml:space="preserve"> </w:t>
      </w:r>
      <w:r w:rsidRPr="0040482C">
        <w:t>means the AWE published for the period ending 6 months before an adjustment day when a negative adjustment that has not been offset first occurred.</w:t>
      </w:r>
    </w:p>
    <w:p w14:paraId="2081030F" w14:textId="291C4682" w:rsidR="004E0390" w:rsidRPr="0040482C" w:rsidRDefault="004E0390" w:rsidP="004E0390">
      <w:pPr>
        <w:pStyle w:val="aNote"/>
      </w:pPr>
      <w:r w:rsidRPr="0040482C">
        <w:rPr>
          <w:i/>
        </w:rPr>
        <w:t>Note</w:t>
      </w:r>
      <w:r w:rsidRPr="0040482C">
        <w:rPr>
          <w:i/>
        </w:rPr>
        <w:tab/>
      </w:r>
      <w:r w:rsidRPr="0040482C">
        <w:t xml:space="preserve">The </w:t>
      </w:r>
      <w:hyperlink r:id="rId43" w:tooltip="Motor Accident Injuries Act 2019" w:history="1">
        <w:r w:rsidR="002639DD" w:rsidRPr="002639DD">
          <w:rPr>
            <w:rStyle w:val="charCitHyperlinkAbbrev"/>
          </w:rPr>
          <w:t>Act</w:t>
        </w:r>
      </w:hyperlink>
      <w:r w:rsidRPr="0040482C">
        <w:t>, s 9</w:t>
      </w:r>
      <w:r w:rsidR="0033192E" w:rsidRPr="0040482C">
        <w:t>4</w:t>
      </w:r>
      <w:r w:rsidRPr="0040482C">
        <w:t xml:space="preserve"> sets out what happens if an amount to be AWE adjusted would, if adjusted in line with a negative adjustment to the AWE, become smaller.</w:t>
      </w:r>
    </w:p>
    <w:p w14:paraId="105F0A9A" w14:textId="77777777" w:rsidR="004E5481" w:rsidRPr="0040482C" w:rsidRDefault="0040482C" w:rsidP="002639DD">
      <w:pPr>
        <w:pStyle w:val="Amain"/>
        <w:keepNext/>
      </w:pPr>
      <w:r>
        <w:lastRenderedPageBreak/>
        <w:tab/>
      </w:r>
      <w:r w:rsidRPr="0040482C">
        <w:t>(3)</w:t>
      </w:r>
      <w:r w:rsidRPr="0040482C">
        <w:tab/>
      </w:r>
      <w:r w:rsidR="004E5481" w:rsidRPr="0040482C">
        <w:t xml:space="preserve">The AWE </w:t>
      </w:r>
      <w:r w:rsidR="009C3007" w:rsidRPr="0040482C">
        <w:t>adjustment</w:t>
      </w:r>
      <w:r w:rsidR="004E5481" w:rsidRPr="0040482C">
        <w:t xml:space="preserve"> factor for the amount</w:t>
      </w:r>
      <w:r w:rsidR="008E18D7" w:rsidRPr="0040482C">
        <w:t xml:space="preserve"> must be</w:t>
      </w:r>
      <w:r w:rsidR="004E5481" w:rsidRPr="0040482C">
        <w:t>—</w:t>
      </w:r>
    </w:p>
    <w:p w14:paraId="2926799B" w14:textId="77777777" w:rsidR="004E5481" w:rsidRPr="0040482C" w:rsidRDefault="0040482C" w:rsidP="0040482C">
      <w:pPr>
        <w:pStyle w:val="Apara"/>
      </w:pPr>
      <w:r>
        <w:tab/>
      </w:r>
      <w:r w:rsidRPr="0040482C">
        <w:t>(a)</w:t>
      </w:r>
      <w:r w:rsidRPr="0040482C">
        <w:tab/>
      </w:r>
      <w:r w:rsidR="004E5481" w:rsidRPr="0040482C">
        <w:t>worked out to 3 decimal places; and</w:t>
      </w:r>
    </w:p>
    <w:p w14:paraId="441409F9" w14:textId="77777777" w:rsidR="007D33B8" w:rsidRPr="0040482C" w:rsidRDefault="0040482C" w:rsidP="0040482C">
      <w:pPr>
        <w:pStyle w:val="Apara"/>
      </w:pPr>
      <w:r>
        <w:tab/>
      </w:r>
      <w:r w:rsidRPr="0040482C">
        <w:t>(b)</w:t>
      </w:r>
      <w:r w:rsidRPr="0040482C">
        <w:tab/>
      </w:r>
      <w:r w:rsidR="007D33B8" w:rsidRPr="0040482C">
        <w:t>if the 4th decimal place is 5 or more—rounded up.</w:t>
      </w:r>
    </w:p>
    <w:p w14:paraId="4FCF670E" w14:textId="77777777" w:rsidR="004E5481" w:rsidRPr="0040482C" w:rsidRDefault="0040482C" w:rsidP="0040482C">
      <w:pPr>
        <w:pStyle w:val="Amain"/>
      </w:pPr>
      <w:r>
        <w:tab/>
      </w:r>
      <w:r w:rsidRPr="0040482C">
        <w:t>(4)</w:t>
      </w:r>
      <w:r w:rsidRPr="0040482C">
        <w:tab/>
      </w:r>
      <w:r w:rsidR="004E5481" w:rsidRPr="0040482C">
        <w:t xml:space="preserve">If the AWE </w:t>
      </w:r>
      <w:r w:rsidR="009C3007" w:rsidRPr="0040482C">
        <w:t>adjustment</w:t>
      </w:r>
      <w:r w:rsidR="004E5481" w:rsidRPr="0040482C">
        <w:t xml:space="preserve"> factor worked out under subsection (</w:t>
      </w:r>
      <w:r w:rsidR="009C3007" w:rsidRPr="0040482C">
        <w:t>1</w:t>
      </w:r>
      <w:r w:rsidR="004E5481" w:rsidRPr="0040482C">
        <w:t>)</w:t>
      </w:r>
      <w:r w:rsidR="004E0390" w:rsidRPr="0040482C">
        <w:t xml:space="preserve"> or</w:t>
      </w:r>
      <w:r w:rsidR="00C06F70" w:rsidRPr="0040482C">
        <w:t> </w:t>
      </w:r>
      <w:r w:rsidR="004E0390" w:rsidRPr="0040482C">
        <w:t>(2)</w:t>
      </w:r>
      <w:r w:rsidR="004E5481" w:rsidRPr="0040482C">
        <w:t xml:space="preserve"> would be less than 1, the AWE </w:t>
      </w:r>
      <w:r w:rsidR="009C3007" w:rsidRPr="0040482C">
        <w:t>adjustment</w:t>
      </w:r>
      <w:r w:rsidR="004E5481" w:rsidRPr="0040482C">
        <w:t xml:space="preserve"> factor is 1. </w:t>
      </w:r>
    </w:p>
    <w:p w14:paraId="62B15681" w14:textId="77777777" w:rsidR="00B8223D" w:rsidRPr="0040482C" w:rsidRDefault="00B8223D" w:rsidP="00B8223D">
      <w:pPr>
        <w:pStyle w:val="PageBreak"/>
      </w:pPr>
      <w:r w:rsidRPr="0040482C">
        <w:br w:type="page"/>
      </w:r>
    </w:p>
    <w:p w14:paraId="48508B93" w14:textId="77777777" w:rsidR="00B8223D" w:rsidRPr="009F0332" w:rsidRDefault="0040482C" w:rsidP="0040482C">
      <w:pPr>
        <w:pStyle w:val="AH2Part"/>
      </w:pPr>
      <w:bookmarkStart w:id="21" w:name="_Toc153373690"/>
      <w:r w:rsidRPr="009F0332">
        <w:rPr>
          <w:rStyle w:val="CharPartNo"/>
        </w:rPr>
        <w:lastRenderedPageBreak/>
        <w:t>Part 3</w:t>
      </w:r>
      <w:r w:rsidRPr="0040482C">
        <w:tab/>
      </w:r>
      <w:r w:rsidR="00B8223D" w:rsidRPr="009F0332">
        <w:rPr>
          <w:rStyle w:val="CharPartText"/>
        </w:rPr>
        <w:t>Income replacement benefits</w:t>
      </w:r>
      <w:bookmarkEnd w:id="21"/>
    </w:p>
    <w:p w14:paraId="550751C7" w14:textId="77777777" w:rsidR="00E810B6" w:rsidRPr="0040482C" w:rsidRDefault="0040482C" w:rsidP="0040482C">
      <w:pPr>
        <w:pStyle w:val="AH5Sec"/>
      </w:pPr>
      <w:bookmarkStart w:id="22" w:name="_Toc153373691"/>
      <w:r w:rsidRPr="009F0332">
        <w:rPr>
          <w:rStyle w:val="CharSectNo"/>
        </w:rPr>
        <w:t>12</w:t>
      </w:r>
      <w:r w:rsidRPr="0040482C">
        <w:tab/>
      </w:r>
      <w:r w:rsidR="00E810B6" w:rsidRPr="0040482C">
        <w:t>Amount of interim weekly payment—prescribed percentage—Act, s 10</w:t>
      </w:r>
      <w:r w:rsidR="0033192E" w:rsidRPr="0040482C">
        <w:t>3</w:t>
      </w:r>
      <w:r w:rsidR="00E810B6" w:rsidRPr="0040482C">
        <w:t> (3)</w:t>
      </w:r>
      <w:bookmarkEnd w:id="22"/>
    </w:p>
    <w:p w14:paraId="14D93528" w14:textId="1A26B280" w:rsidR="00E810B6" w:rsidRPr="0040482C" w:rsidRDefault="00E810B6" w:rsidP="00E810B6">
      <w:pPr>
        <w:pStyle w:val="Amainreturn"/>
      </w:pPr>
      <w:r w:rsidRPr="0040482C">
        <w:t>The amount of the interim weekly payment is 2</w:t>
      </w:r>
      <w:r w:rsidR="00BA6F78" w:rsidRPr="0040482C">
        <w:t>2</w:t>
      </w:r>
      <w:r w:rsidRPr="0040482C">
        <w:t>.5% of $2 250 AWE indexed</w:t>
      </w:r>
      <w:r w:rsidR="00A56ABB" w:rsidRPr="00775B31">
        <w:t>, rounded up to the nearest cent</w:t>
      </w:r>
      <w:r w:rsidRPr="0040482C">
        <w:t>.</w:t>
      </w:r>
    </w:p>
    <w:p w14:paraId="6BD90EA7" w14:textId="77777777" w:rsidR="00E810B6" w:rsidRPr="0040482C" w:rsidRDefault="0040482C" w:rsidP="0040482C">
      <w:pPr>
        <w:pStyle w:val="AH5Sec"/>
      </w:pPr>
      <w:bookmarkStart w:id="23" w:name="_Toc153373692"/>
      <w:r w:rsidRPr="009F0332">
        <w:rPr>
          <w:rStyle w:val="CharSectNo"/>
        </w:rPr>
        <w:t>13</w:t>
      </w:r>
      <w:r w:rsidRPr="0040482C">
        <w:tab/>
      </w:r>
      <w:r w:rsidR="00E810B6" w:rsidRPr="0040482C">
        <w:t>Notice of changed circumstances—Act, s 10</w:t>
      </w:r>
      <w:r w:rsidR="00450F55" w:rsidRPr="0040482C">
        <w:t>6</w:t>
      </w:r>
      <w:r w:rsidR="00E810B6" w:rsidRPr="0040482C">
        <w:t xml:space="preserve"> (</w:t>
      </w:r>
      <w:r w:rsidR="001D312C" w:rsidRPr="0040482C">
        <w:t>3</w:t>
      </w:r>
      <w:r w:rsidR="00E810B6" w:rsidRPr="0040482C">
        <w:t>)</w:t>
      </w:r>
      <w:bookmarkEnd w:id="23"/>
    </w:p>
    <w:p w14:paraId="011415AE" w14:textId="77777777" w:rsidR="00E810B6" w:rsidRPr="0040482C" w:rsidRDefault="0040482C" w:rsidP="0040482C">
      <w:pPr>
        <w:pStyle w:val="Amain"/>
        <w:keepNext/>
      </w:pPr>
      <w:r>
        <w:tab/>
      </w:r>
      <w:r w:rsidRPr="0040482C">
        <w:t>(1)</w:t>
      </w:r>
      <w:r w:rsidRPr="0040482C">
        <w:tab/>
      </w:r>
      <w:r w:rsidR="00E856C6" w:rsidRPr="0040482C">
        <w:t>Notice may be given orally or in writing.</w:t>
      </w:r>
    </w:p>
    <w:p w14:paraId="7A90752C" w14:textId="2289BDA5" w:rsidR="00E856C6" w:rsidRPr="0040482C" w:rsidRDefault="00E856C6" w:rsidP="00E856C6">
      <w:pPr>
        <w:pStyle w:val="aNote"/>
      </w:pPr>
      <w:r w:rsidRPr="0040482C">
        <w:rPr>
          <w:rStyle w:val="charItals"/>
        </w:rPr>
        <w:t>Note</w:t>
      </w:r>
      <w:r w:rsidRPr="0040482C">
        <w:rPr>
          <w:rStyle w:val="charItals"/>
        </w:rPr>
        <w:tab/>
      </w:r>
      <w:r w:rsidRPr="0040482C">
        <w:t xml:space="preserve">For how documents may be given, see the </w:t>
      </w:r>
      <w:hyperlink r:id="rId44" w:tooltip="A2001-14" w:history="1">
        <w:r w:rsidR="001B5459" w:rsidRPr="0040482C">
          <w:rPr>
            <w:rStyle w:val="charCitHyperlinkAbbrev"/>
          </w:rPr>
          <w:t>Legislation Act</w:t>
        </w:r>
      </w:hyperlink>
      <w:r w:rsidRPr="0040482C">
        <w:t>, pt 19.5.</w:t>
      </w:r>
    </w:p>
    <w:p w14:paraId="12EC0556" w14:textId="162C1A23" w:rsidR="00E856C6" w:rsidRPr="0040482C" w:rsidRDefault="0040482C" w:rsidP="0040482C">
      <w:pPr>
        <w:pStyle w:val="Amain"/>
      </w:pPr>
      <w:r>
        <w:tab/>
      </w:r>
      <w:r w:rsidRPr="0040482C">
        <w:t>(2)</w:t>
      </w:r>
      <w:r w:rsidRPr="0040482C">
        <w:tab/>
      </w:r>
      <w:r w:rsidR="00E856C6" w:rsidRPr="0040482C">
        <w:t xml:space="preserve">If </w:t>
      </w:r>
      <w:r w:rsidR="00DD3672" w:rsidRPr="0040482C">
        <w:t xml:space="preserve">an injured person gives </w:t>
      </w:r>
      <w:r w:rsidR="00E856C6" w:rsidRPr="0040482C">
        <w:t xml:space="preserve">notice orally, </w:t>
      </w:r>
      <w:r w:rsidR="00DD3672" w:rsidRPr="0040482C">
        <w:t>the injured person</w:t>
      </w:r>
      <w:r w:rsidR="00E856C6" w:rsidRPr="0040482C">
        <w:t xml:space="preserve"> must confirm</w:t>
      </w:r>
      <w:r w:rsidR="009255D5" w:rsidRPr="0040482C">
        <w:t xml:space="preserve"> the notice</w:t>
      </w:r>
      <w:r w:rsidR="00E24C96" w:rsidRPr="0040482C">
        <w:t>,</w:t>
      </w:r>
      <w:r w:rsidR="00E856C6" w:rsidRPr="0040482C">
        <w:t xml:space="preserve"> in writing</w:t>
      </w:r>
      <w:r w:rsidR="00E24C96" w:rsidRPr="0040482C">
        <w:t>,</w:t>
      </w:r>
      <w:r w:rsidR="00E06201" w:rsidRPr="0040482C">
        <w:t xml:space="preserve"> within 10</w:t>
      </w:r>
      <w:r w:rsidR="007A788C">
        <w:t xml:space="preserve"> </w:t>
      </w:r>
      <w:r w:rsidR="00E06201" w:rsidRPr="0040482C">
        <w:t xml:space="preserve">business days after giving the </w:t>
      </w:r>
      <w:r w:rsidR="00DD3672" w:rsidRPr="0040482C">
        <w:t xml:space="preserve">oral </w:t>
      </w:r>
      <w:r w:rsidR="00E06201" w:rsidRPr="0040482C">
        <w:t>notice</w:t>
      </w:r>
      <w:r w:rsidR="00E856C6" w:rsidRPr="0040482C">
        <w:t>.</w:t>
      </w:r>
    </w:p>
    <w:p w14:paraId="73C2D206" w14:textId="77777777" w:rsidR="0017301C" w:rsidRPr="0017301C" w:rsidRDefault="0017301C" w:rsidP="0017301C">
      <w:pPr>
        <w:pStyle w:val="PageBreak"/>
      </w:pPr>
      <w:r w:rsidRPr="0017301C">
        <w:br w:type="page"/>
      </w:r>
    </w:p>
    <w:p w14:paraId="69CA4B7B" w14:textId="4E537BD7" w:rsidR="0017301C" w:rsidRPr="009F0332" w:rsidRDefault="0017301C" w:rsidP="0017301C">
      <w:pPr>
        <w:pStyle w:val="AH2Part"/>
      </w:pPr>
      <w:bookmarkStart w:id="24" w:name="_Toc153373693"/>
      <w:r w:rsidRPr="009F0332">
        <w:rPr>
          <w:rStyle w:val="CharPartNo"/>
        </w:rPr>
        <w:lastRenderedPageBreak/>
        <w:t>Part 3A</w:t>
      </w:r>
      <w:r w:rsidRPr="0066333B">
        <w:rPr>
          <w:color w:val="000000"/>
        </w:rPr>
        <w:tab/>
      </w:r>
      <w:r w:rsidRPr="009F0332">
        <w:rPr>
          <w:rStyle w:val="CharPartText"/>
          <w:color w:val="000000"/>
        </w:rPr>
        <w:t>Quality of life benefits</w:t>
      </w:r>
      <w:bookmarkEnd w:id="24"/>
    </w:p>
    <w:p w14:paraId="10BEACB1" w14:textId="77777777" w:rsidR="0017301C" w:rsidRPr="0066333B" w:rsidRDefault="0017301C" w:rsidP="0017301C">
      <w:pPr>
        <w:pStyle w:val="AH5Sec"/>
      </w:pPr>
      <w:bookmarkStart w:id="25" w:name="_Toc153373694"/>
      <w:r w:rsidRPr="009F0332">
        <w:rPr>
          <w:rStyle w:val="CharSectNo"/>
        </w:rPr>
        <w:t>13A</w:t>
      </w:r>
      <w:r w:rsidRPr="0066333B">
        <w:rPr>
          <w:color w:val="000000"/>
        </w:rPr>
        <w:tab/>
        <w:t>WPI taken to be 10% in certain circumstances—prescribed requirements—Act, s 133 (1) (b) (i)</w:t>
      </w:r>
      <w:bookmarkEnd w:id="25"/>
    </w:p>
    <w:p w14:paraId="7DF3B134" w14:textId="77777777" w:rsidR="0017301C" w:rsidRPr="0066333B" w:rsidRDefault="0017301C" w:rsidP="0017301C">
      <w:pPr>
        <w:pStyle w:val="Amainreturn"/>
        <w:rPr>
          <w:color w:val="000000"/>
        </w:rPr>
      </w:pPr>
      <w:r w:rsidRPr="0066333B">
        <w:rPr>
          <w:color w:val="000000"/>
        </w:rPr>
        <w:t>The injured person must—</w:t>
      </w:r>
    </w:p>
    <w:p w14:paraId="08E20CDB" w14:textId="77777777" w:rsidR="0017301C" w:rsidRPr="0066333B" w:rsidRDefault="0017301C" w:rsidP="0017301C">
      <w:pPr>
        <w:pStyle w:val="Apara"/>
      </w:pPr>
      <w:r w:rsidRPr="0066333B">
        <w:rPr>
          <w:color w:val="000000"/>
        </w:rPr>
        <w:tab/>
        <w:t>(a)</w:t>
      </w:r>
      <w:r w:rsidRPr="0066333B">
        <w:rPr>
          <w:color w:val="000000"/>
        </w:rPr>
        <w:tab/>
        <w:t>have a current recovery plan under which the injured person requires ongoing treatment and care; and</w:t>
      </w:r>
    </w:p>
    <w:p w14:paraId="6313F5DD" w14:textId="77777777" w:rsidR="0017301C" w:rsidRPr="0066333B" w:rsidRDefault="0017301C" w:rsidP="0017301C">
      <w:pPr>
        <w:pStyle w:val="Apara"/>
      </w:pPr>
      <w:r w:rsidRPr="0066333B">
        <w:tab/>
        <w:t>(b)</w:t>
      </w:r>
      <w:r w:rsidRPr="0066333B">
        <w:tab/>
        <w:t>be undergoing treatment and care that has been approved by the relevant insurer in accordance with the Act.</w:t>
      </w:r>
    </w:p>
    <w:p w14:paraId="0FCC03FE" w14:textId="77777777" w:rsidR="0017301C" w:rsidRPr="0066333B" w:rsidRDefault="0017301C" w:rsidP="0017301C">
      <w:pPr>
        <w:pStyle w:val="aExamHdgss"/>
        <w:rPr>
          <w:color w:val="000000"/>
        </w:rPr>
      </w:pPr>
      <w:r w:rsidRPr="0066333B">
        <w:rPr>
          <w:color w:val="000000"/>
        </w:rPr>
        <w:t>Example—treatment and care that is ongoing</w:t>
      </w:r>
    </w:p>
    <w:p w14:paraId="20C1DF8C" w14:textId="77777777" w:rsidR="0017301C" w:rsidRPr="0066333B" w:rsidRDefault="0017301C" w:rsidP="0017301C">
      <w:pPr>
        <w:pStyle w:val="aExamINumss"/>
        <w:keepNext/>
        <w:rPr>
          <w:color w:val="000000"/>
        </w:rPr>
      </w:pPr>
      <w:r w:rsidRPr="0066333B">
        <w:rPr>
          <w:color w:val="000000"/>
        </w:rPr>
        <w:t>regular occupational therapy and speech pathology sessions</w:t>
      </w:r>
    </w:p>
    <w:p w14:paraId="48A9C125" w14:textId="59410525" w:rsidR="0017301C" w:rsidRPr="0066333B" w:rsidRDefault="0017301C" w:rsidP="0017301C">
      <w:pPr>
        <w:pStyle w:val="aNote"/>
        <w:rPr>
          <w:color w:val="000000"/>
        </w:rPr>
      </w:pPr>
      <w:r w:rsidRPr="0066333B">
        <w:rPr>
          <w:rStyle w:val="charItals"/>
        </w:rPr>
        <w:t>Note</w:t>
      </w:r>
      <w:r w:rsidRPr="0066333B">
        <w:rPr>
          <w:rStyle w:val="charItals"/>
        </w:rPr>
        <w:tab/>
      </w:r>
      <w:r w:rsidRPr="0066333B">
        <w:rPr>
          <w:color w:val="000000"/>
        </w:rPr>
        <w:t xml:space="preserve">Under the </w:t>
      </w:r>
      <w:hyperlink r:id="rId45" w:tooltip="Motor Accident Injuries Act 2019" w:history="1">
        <w:r w:rsidRPr="0066333B">
          <w:rPr>
            <w:rStyle w:val="charCitHyperlinkAbbrev"/>
          </w:rPr>
          <w:t>Act</w:t>
        </w:r>
      </w:hyperlink>
      <w:r w:rsidRPr="0066333B">
        <w:rPr>
          <w:color w:val="000000"/>
        </w:rPr>
        <w:t>, s 124, an injured person’s recovery plan must state the treatment and care approved by the relevant insurer as reasonable and necessary treatment and care for the person.</w:t>
      </w:r>
    </w:p>
    <w:p w14:paraId="2BD14CDE" w14:textId="77777777" w:rsidR="0017301C" w:rsidRPr="0017301C" w:rsidRDefault="0017301C" w:rsidP="0017301C">
      <w:pPr>
        <w:pStyle w:val="PageBreak"/>
      </w:pPr>
      <w:r w:rsidRPr="0017301C">
        <w:br w:type="page"/>
      </w:r>
    </w:p>
    <w:p w14:paraId="336386A1" w14:textId="4C386D98" w:rsidR="0017301C" w:rsidRPr="009F0332" w:rsidRDefault="0017301C" w:rsidP="0017301C">
      <w:pPr>
        <w:pStyle w:val="AH2Part"/>
      </w:pPr>
      <w:bookmarkStart w:id="26" w:name="_Toc153373695"/>
      <w:r w:rsidRPr="009F0332">
        <w:rPr>
          <w:rStyle w:val="CharPartNo"/>
        </w:rPr>
        <w:lastRenderedPageBreak/>
        <w:t>Part 3B</w:t>
      </w:r>
      <w:r w:rsidRPr="0066333B">
        <w:rPr>
          <w:color w:val="000000"/>
        </w:rPr>
        <w:tab/>
      </w:r>
      <w:r w:rsidRPr="009F0332">
        <w:rPr>
          <w:rStyle w:val="CharPartText"/>
          <w:color w:val="000000"/>
        </w:rPr>
        <w:t>Medical treatment</w:t>
      </w:r>
      <w:bookmarkEnd w:id="26"/>
    </w:p>
    <w:p w14:paraId="0C308E55" w14:textId="77777777" w:rsidR="0017301C" w:rsidRPr="0066333B" w:rsidRDefault="0017301C" w:rsidP="0017301C">
      <w:pPr>
        <w:pStyle w:val="AH5Sec"/>
        <w:rPr>
          <w:rStyle w:val="charItals"/>
        </w:rPr>
      </w:pPr>
      <w:bookmarkStart w:id="27" w:name="_Toc153373696"/>
      <w:r w:rsidRPr="009F0332">
        <w:rPr>
          <w:rStyle w:val="CharSectNo"/>
        </w:rPr>
        <w:t>13B</w:t>
      </w:r>
      <w:r w:rsidRPr="0066333B">
        <w:rPr>
          <w:color w:val="000000"/>
        </w:rPr>
        <w:tab/>
        <w:t xml:space="preserve">Medical treatment—Act, s 221, def </w:t>
      </w:r>
      <w:r w:rsidRPr="0066333B">
        <w:rPr>
          <w:rStyle w:val="charItals"/>
        </w:rPr>
        <w:t>medical treatment</w:t>
      </w:r>
      <w:bookmarkEnd w:id="27"/>
    </w:p>
    <w:p w14:paraId="3DD0FD10" w14:textId="77777777" w:rsidR="0017301C" w:rsidRPr="0066333B" w:rsidRDefault="0017301C" w:rsidP="0017301C">
      <w:pPr>
        <w:pStyle w:val="Amain"/>
      </w:pPr>
      <w:r w:rsidRPr="0066333B">
        <w:tab/>
        <w:t>(1)</w:t>
      </w:r>
      <w:r w:rsidRPr="0066333B">
        <w:tab/>
        <w:t>Treatment provided by a health practitioner is prescribed, other than the following treatment:</w:t>
      </w:r>
    </w:p>
    <w:p w14:paraId="158932C5" w14:textId="77777777" w:rsidR="0017301C" w:rsidRPr="0066333B" w:rsidRDefault="0017301C" w:rsidP="0017301C">
      <w:pPr>
        <w:pStyle w:val="Apara"/>
      </w:pPr>
      <w:r w:rsidRPr="0066333B">
        <w:rPr>
          <w:color w:val="000000"/>
        </w:rPr>
        <w:tab/>
        <w:t>(a)</w:t>
      </w:r>
      <w:r w:rsidRPr="0066333B">
        <w:rPr>
          <w:color w:val="000000"/>
        </w:rPr>
        <w:tab/>
        <w:t>dental treatment not provided by a dentist registered as a dental specialist with the Dental Board of Australia;</w:t>
      </w:r>
    </w:p>
    <w:p w14:paraId="4B6D6EE1" w14:textId="77777777" w:rsidR="0017301C" w:rsidRPr="0066333B" w:rsidRDefault="0017301C" w:rsidP="0017301C">
      <w:pPr>
        <w:pStyle w:val="Apara"/>
      </w:pPr>
      <w:r w:rsidRPr="0066333B">
        <w:tab/>
        <w:t>(b)</w:t>
      </w:r>
      <w:r w:rsidRPr="0066333B">
        <w:tab/>
        <w:t>optometry other than post-operative treatment following surgery by a registered medical practitioner;</w:t>
      </w:r>
    </w:p>
    <w:p w14:paraId="40439A3C" w14:textId="77777777" w:rsidR="0017301C" w:rsidRPr="0066333B" w:rsidRDefault="0017301C" w:rsidP="0017301C">
      <w:pPr>
        <w:pStyle w:val="Apara"/>
      </w:pPr>
      <w:r w:rsidRPr="0066333B">
        <w:tab/>
        <w:t>(c)</w:t>
      </w:r>
      <w:r w:rsidRPr="0066333B">
        <w:tab/>
        <w:t>paramedicine.</w:t>
      </w:r>
    </w:p>
    <w:p w14:paraId="7C80CA3B" w14:textId="6B057E1A" w:rsidR="0017301C" w:rsidRPr="0066333B" w:rsidRDefault="0017301C" w:rsidP="0017301C">
      <w:pPr>
        <w:pStyle w:val="aNote"/>
        <w:jc w:val="left"/>
      </w:pPr>
      <w:r w:rsidRPr="0066333B">
        <w:rPr>
          <w:rStyle w:val="charItals"/>
        </w:rPr>
        <w:t>Note</w:t>
      </w:r>
      <w:r w:rsidRPr="0066333B">
        <w:rPr>
          <w:rStyle w:val="charItals"/>
        </w:rPr>
        <w:tab/>
      </w:r>
      <w:r w:rsidRPr="0066333B">
        <w:rPr>
          <w:rStyle w:val="charBoldItals"/>
        </w:rPr>
        <w:t>Health practitioner</w:t>
      </w:r>
      <w:r w:rsidRPr="0066333B">
        <w:rPr>
          <w:color w:val="000000"/>
        </w:rPr>
        <w:t xml:space="preserve">—see the </w:t>
      </w:r>
      <w:hyperlink r:id="rId46" w:tooltip="A2001-14" w:history="1">
        <w:r w:rsidRPr="0066333B">
          <w:rPr>
            <w:rStyle w:val="charCitHyperlinkAbbrev"/>
          </w:rPr>
          <w:t>Legislation Act</w:t>
        </w:r>
      </w:hyperlink>
      <w:r w:rsidRPr="0066333B">
        <w:rPr>
          <w:color w:val="000000"/>
        </w:rPr>
        <w:t>, dictionary.</w:t>
      </w:r>
      <w:r w:rsidRPr="0066333B">
        <w:rPr>
          <w:color w:val="000000"/>
        </w:rPr>
        <w:br/>
      </w:r>
      <w:r w:rsidRPr="0066333B">
        <w:rPr>
          <w:rStyle w:val="charBoldItals"/>
        </w:rPr>
        <w:t>Medical practitioner</w:t>
      </w:r>
      <w:r w:rsidRPr="0066333B">
        <w:t xml:space="preserve">—see the </w:t>
      </w:r>
      <w:hyperlink r:id="rId47" w:tooltip="A2001-14" w:history="1">
        <w:r w:rsidRPr="0066333B">
          <w:rPr>
            <w:rStyle w:val="charCitHyperlinkAbbrev"/>
          </w:rPr>
          <w:t>Legislation Act</w:t>
        </w:r>
      </w:hyperlink>
      <w:r w:rsidRPr="0066333B">
        <w:t xml:space="preserve">, </w:t>
      </w:r>
      <w:r w:rsidRPr="0066333B">
        <w:rPr>
          <w:color w:val="000000"/>
        </w:rPr>
        <w:t>dictionary</w:t>
      </w:r>
      <w:r w:rsidRPr="0066333B">
        <w:t>.</w:t>
      </w:r>
    </w:p>
    <w:p w14:paraId="73DB42D9" w14:textId="77777777" w:rsidR="0017301C" w:rsidRPr="0066333B" w:rsidRDefault="0017301C" w:rsidP="0017301C">
      <w:pPr>
        <w:pStyle w:val="Amain"/>
      </w:pPr>
      <w:r w:rsidRPr="0066333B">
        <w:tab/>
        <w:t>(2)</w:t>
      </w:r>
      <w:r w:rsidRPr="0066333B">
        <w:tab/>
        <w:t>In this section:</w:t>
      </w:r>
    </w:p>
    <w:p w14:paraId="3DA08421" w14:textId="07D3C58B" w:rsidR="0017301C" w:rsidRPr="0066333B" w:rsidRDefault="0017301C" w:rsidP="0017301C">
      <w:pPr>
        <w:pStyle w:val="aDef"/>
      </w:pPr>
      <w:r w:rsidRPr="0066333B">
        <w:rPr>
          <w:rStyle w:val="charBoldItals"/>
        </w:rPr>
        <w:t>Dental Board of Australia</w:t>
      </w:r>
      <w:r w:rsidRPr="0066333B">
        <w:t xml:space="preserve"> means the National Health Practitioner Board continued for the dental health profession under the </w:t>
      </w:r>
      <w:hyperlink r:id="rId48" w:tooltip="SL2018-166" w:history="1">
        <w:r w:rsidRPr="0066333B">
          <w:rPr>
            <w:rStyle w:val="charCitHyperlinkItal"/>
          </w:rPr>
          <w:t>Health Practitioner Regulation National Law Regulation 2018</w:t>
        </w:r>
      </w:hyperlink>
      <w:r w:rsidRPr="0066333B">
        <w:t>, section 4.</w:t>
      </w:r>
    </w:p>
    <w:p w14:paraId="6DA27E01" w14:textId="77777777" w:rsidR="0017301C" w:rsidRPr="0017301C" w:rsidRDefault="0017301C" w:rsidP="0017301C">
      <w:pPr>
        <w:pStyle w:val="PageBreak"/>
      </w:pPr>
      <w:r w:rsidRPr="0017301C">
        <w:br w:type="page"/>
      </w:r>
    </w:p>
    <w:p w14:paraId="51F9C539" w14:textId="1D089756" w:rsidR="0017301C" w:rsidRPr="009F0332" w:rsidRDefault="0017301C" w:rsidP="0017301C">
      <w:pPr>
        <w:pStyle w:val="AH2Part"/>
      </w:pPr>
      <w:bookmarkStart w:id="28" w:name="_Toc153373697"/>
      <w:r w:rsidRPr="009F0332">
        <w:rPr>
          <w:rStyle w:val="CharPartNo"/>
        </w:rPr>
        <w:lastRenderedPageBreak/>
        <w:t>Part 3C</w:t>
      </w:r>
      <w:r w:rsidRPr="0066333B">
        <w:rPr>
          <w:color w:val="000000"/>
        </w:rPr>
        <w:tab/>
      </w:r>
      <w:r w:rsidRPr="009F0332">
        <w:rPr>
          <w:rStyle w:val="CharPartText"/>
          <w:color w:val="000000"/>
        </w:rPr>
        <w:t>Motor accident claims</w:t>
      </w:r>
      <w:bookmarkEnd w:id="28"/>
    </w:p>
    <w:p w14:paraId="760FF05F" w14:textId="77777777" w:rsidR="0017301C" w:rsidRPr="0066333B" w:rsidRDefault="0017301C" w:rsidP="0017301C">
      <w:pPr>
        <w:pStyle w:val="AH5Sec"/>
      </w:pPr>
      <w:bookmarkStart w:id="29" w:name="_Toc153373698"/>
      <w:r w:rsidRPr="009F0332">
        <w:rPr>
          <w:rStyle w:val="CharSectNo"/>
        </w:rPr>
        <w:t>13C</w:t>
      </w:r>
      <w:r w:rsidRPr="0066333B">
        <w:rPr>
          <w:color w:val="000000"/>
        </w:rPr>
        <w:tab/>
        <w:t>Mandatory final offer accepted—costs—Act, s 266 (2)</w:t>
      </w:r>
      <w:bookmarkEnd w:id="29"/>
    </w:p>
    <w:p w14:paraId="5C857674" w14:textId="77777777" w:rsidR="0017301C" w:rsidRPr="0066333B" w:rsidRDefault="0017301C" w:rsidP="0017301C">
      <w:pPr>
        <w:pStyle w:val="Amainreturn"/>
        <w:rPr>
          <w:color w:val="000000"/>
        </w:rPr>
      </w:pPr>
      <w:r w:rsidRPr="0066333B">
        <w:rPr>
          <w:color w:val="000000"/>
        </w:rPr>
        <w:t>If a mandatory final offer for at least $30 000 but not more than $50 000 is accepted, costs (including disbursements) must—</w:t>
      </w:r>
    </w:p>
    <w:p w14:paraId="071E296B" w14:textId="77777777" w:rsidR="0017301C" w:rsidRPr="0066333B" w:rsidRDefault="0017301C" w:rsidP="0017301C">
      <w:pPr>
        <w:pStyle w:val="Apara"/>
      </w:pPr>
      <w:r w:rsidRPr="0066333B">
        <w:rPr>
          <w:color w:val="000000"/>
        </w:rPr>
        <w:tab/>
        <w:t>(a)</w:t>
      </w:r>
      <w:r w:rsidRPr="0066333B">
        <w:rPr>
          <w:color w:val="000000"/>
        </w:rPr>
        <w:tab/>
        <w:t>be worked out on a party and party basis; and</w:t>
      </w:r>
    </w:p>
    <w:p w14:paraId="2B27A937" w14:textId="77777777" w:rsidR="0017301C" w:rsidRPr="0066333B" w:rsidRDefault="0017301C" w:rsidP="0017301C">
      <w:pPr>
        <w:pStyle w:val="Apara"/>
      </w:pPr>
      <w:r w:rsidRPr="0066333B">
        <w:tab/>
        <w:t>(b)</w:t>
      </w:r>
      <w:r w:rsidRPr="0066333B">
        <w:tab/>
        <w:t>be paid by the insurer; and</w:t>
      </w:r>
    </w:p>
    <w:p w14:paraId="2B93776D" w14:textId="77777777" w:rsidR="0017301C" w:rsidRPr="0066333B" w:rsidRDefault="0017301C" w:rsidP="0017301C">
      <w:pPr>
        <w:pStyle w:val="Apara"/>
      </w:pPr>
      <w:r w:rsidRPr="0066333B">
        <w:tab/>
        <w:t>(c)</w:t>
      </w:r>
      <w:r w:rsidRPr="0066333B">
        <w:tab/>
        <w:t>not exceed $5 000 AWE indexed.</w:t>
      </w:r>
    </w:p>
    <w:p w14:paraId="039565EC" w14:textId="77777777" w:rsidR="00734926" w:rsidRPr="0040482C" w:rsidRDefault="00734926" w:rsidP="00734926">
      <w:pPr>
        <w:pStyle w:val="PageBreak"/>
      </w:pPr>
      <w:r w:rsidRPr="0040482C">
        <w:br w:type="page"/>
      </w:r>
    </w:p>
    <w:p w14:paraId="1573D29F" w14:textId="77777777" w:rsidR="00063D0D" w:rsidRPr="0040482C" w:rsidRDefault="00063D0D" w:rsidP="00063D0D">
      <w:pPr>
        <w:pStyle w:val="PageBreak"/>
      </w:pPr>
    </w:p>
    <w:p w14:paraId="1763E6F8" w14:textId="77777777" w:rsidR="00B8223D" w:rsidRPr="009F0332" w:rsidRDefault="0040482C" w:rsidP="0040482C">
      <w:pPr>
        <w:pStyle w:val="AH2Part"/>
      </w:pPr>
      <w:bookmarkStart w:id="30" w:name="_Toc153373699"/>
      <w:r w:rsidRPr="009F0332">
        <w:rPr>
          <w:rStyle w:val="CharPartNo"/>
        </w:rPr>
        <w:t>Part 4</w:t>
      </w:r>
      <w:r w:rsidRPr="0040482C">
        <w:tab/>
      </w:r>
      <w:r w:rsidR="00B8223D" w:rsidRPr="009F0332">
        <w:rPr>
          <w:rStyle w:val="CharPartText"/>
        </w:rPr>
        <w:t>MAI premiums</w:t>
      </w:r>
      <w:bookmarkEnd w:id="30"/>
    </w:p>
    <w:p w14:paraId="6EA07D53" w14:textId="77777777" w:rsidR="001D6079" w:rsidRPr="0040482C" w:rsidRDefault="0040482C" w:rsidP="0040482C">
      <w:pPr>
        <w:pStyle w:val="AH5Sec"/>
      </w:pPr>
      <w:bookmarkStart w:id="31" w:name="_Toc153373700"/>
      <w:r w:rsidRPr="009F0332">
        <w:rPr>
          <w:rStyle w:val="CharSectNo"/>
        </w:rPr>
        <w:t>14</w:t>
      </w:r>
      <w:r w:rsidRPr="0040482C">
        <w:tab/>
      </w:r>
      <w:r w:rsidR="007D33B8" w:rsidRPr="0040482C">
        <w:t xml:space="preserve">Definitions—pt </w:t>
      </w:r>
      <w:r w:rsidR="00B15E94" w:rsidRPr="0040482C">
        <w:t>4</w:t>
      </w:r>
      <w:bookmarkEnd w:id="31"/>
    </w:p>
    <w:p w14:paraId="1DF4D310" w14:textId="77777777" w:rsidR="001D6079" w:rsidRPr="0040482C" w:rsidRDefault="001D6079" w:rsidP="001D6079">
      <w:pPr>
        <w:pStyle w:val="Amainreturn"/>
        <w:keepNext/>
      </w:pPr>
      <w:r w:rsidRPr="0040482C">
        <w:t>In this part:</w:t>
      </w:r>
    </w:p>
    <w:p w14:paraId="5451D4AB" w14:textId="77777777" w:rsidR="001D6079" w:rsidRPr="0040482C" w:rsidRDefault="001D6079" w:rsidP="0040482C">
      <w:pPr>
        <w:pStyle w:val="aDef"/>
      </w:pPr>
      <w:r w:rsidRPr="0040482C">
        <w:rPr>
          <w:rStyle w:val="charBoldItals"/>
        </w:rPr>
        <w:t>annual MAI premium</w:t>
      </w:r>
      <w:r w:rsidRPr="0040482C">
        <w:t>, for an MAI policy, means the premium payable for insurance under the MAI policy for 1 year.</w:t>
      </w:r>
    </w:p>
    <w:p w14:paraId="62588560" w14:textId="77777777" w:rsidR="001D6079" w:rsidRPr="0040482C" w:rsidRDefault="001D6079" w:rsidP="0040482C">
      <w:pPr>
        <w:pStyle w:val="aDef"/>
        <w:keepNext/>
      </w:pPr>
      <w:r w:rsidRPr="0040482C">
        <w:rPr>
          <w:rStyle w:val="charBoldItals"/>
        </w:rPr>
        <w:t>MAI premium class</w:t>
      </w:r>
      <w:r w:rsidRPr="0040482C">
        <w:t xml:space="preserve"> means a class me</w:t>
      </w:r>
      <w:r w:rsidR="00282E88" w:rsidRPr="0040482C">
        <w:t>ntioned in an item in schedule </w:t>
      </w:r>
      <w:r w:rsidR="00581E6F" w:rsidRPr="0040482C">
        <w:t>1</w:t>
      </w:r>
      <w:r w:rsidR="00282E88" w:rsidRPr="0040482C">
        <w:t xml:space="preserve">, part </w:t>
      </w:r>
      <w:r w:rsidR="00581E6F" w:rsidRPr="0040482C">
        <w:t>1</w:t>
      </w:r>
      <w:r w:rsidRPr="0040482C">
        <w:t>.</w:t>
      </w:r>
      <w:r w:rsidR="008B6EC9" w:rsidRPr="0040482C">
        <w:t>2</w:t>
      </w:r>
      <w:r w:rsidRPr="0040482C">
        <w:t>, consisting of—</w:t>
      </w:r>
    </w:p>
    <w:p w14:paraId="7901AB3C" w14:textId="77777777" w:rsidR="001D6079" w:rsidRPr="0040482C" w:rsidRDefault="0040482C" w:rsidP="0040482C">
      <w:pPr>
        <w:pStyle w:val="aDefpara"/>
        <w:keepNext/>
      </w:pPr>
      <w:r>
        <w:tab/>
      </w:r>
      <w:r w:rsidRPr="0040482C">
        <w:t>(a)</w:t>
      </w:r>
      <w:r w:rsidRPr="0040482C">
        <w:tab/>
      </w:r>
      <w:r w:rsidR="001D6079" w:rsidRPr="0040482C">
        <w:t>a class number mentioned in column 2 for the item; and</w:t>
      </w:r>
    </w:p>
    <w:p w14:paraId="50130432" w14:textId="77777777" w:rsidR="001D6079" w:rsidRPr="0040482C" w:rsidRDefault="0040482C" w:rsidP="0040482C">
      <w:pPr>
        <w:pStyle w:val="aDefpara"/>
        <w:keepNext/>
      </w:pPr>
      <w:r>
        <w:tab/>
      </w:r>
      <w:r w:rsidRPr="0040482C">
        <w:t>(b)</w:t>
      </w:r>
      <w:r w:rsidRPr="0040482C">
        <w:tab/>
      </w:r>
      <w:r w:rsidR="001D6079" w:rsidRPr="0040482C">
        <w:t>a kind of motor vehicle or trader’s plate mentioned in column 3 for the item; and</w:t>
      </w:r>
    </w:p>
    <w:p w14:paraId="0494E57C" w14:textId="77777777" w:rsidR="001D6079" w:rsidRPr="0040482C" w:rsidRDefault="0040482C" w:rsidP="0040482C">
      <w:pPr>
        <w:pStyle w:val="aDefpara"/>
        <w:keepNext/>
      </w:pPr>
      <w:r>
        <w:tab/>
      </w:r>
      <w:r w:rsidRPr="0040482C">
        <w:t>(c)</w:t>
      </w:r>
      <w:r w:rsidRPr="0040482C">
        <w:tab/>
      </w:r>
      <w:r w:rsidR="001D6079" w:rsidRPr="0040482C">
        <w:t>a case (if any) mentioned in column 4 for the item; and</w:t>
      </w:r>
    </w:p>
    <w:p w14:paraId="5F346810" w14:textId="77777777" w:rsidR="001D6079" w:rsidRPr="0040482C" w:rsidRDefault="0040482C" w:rsidP="0040482C">
      <w:pPr>
        <w:pStyle w:val="aDefpara"/>
      </w:pPr>
      <w:r>
        <w:tab/>
      </w:r>
      <w:r w:rsidRPr="0040482C">
        <w:t>(d)</w:t>
      </w:r>
      <w:r w:rsidRPr="0040482C">
        <w:tab/>
      </w:r>
      <w:r w:rsidR="001D6079" w:rsidRPr="0040482C">
        <w:t>an entitlement to an input tax credit mentioned in column 5 for the item.</w:t>
      </w:r>
    </w:p>
    <w:p w14:paraId="7889197B" w14:textId="77777777" w:rsidR="001D6079" w:rsidRPr="0040482C" w:rsidRDefault="0040482C" w:rsidP="0040482C">
      <w:pPr>
        <w:pStyle w:val="AH5Sec"/>
        <w:rPr>
          <w:b w:val="0"/>
          <w:bCs/>
        </w:rPr>
      </w:pPr>
      <w:bookmarkStart w:id="32" w:name="_Toc153373701"/>
      <w:r w:rsidRPr="009F0332">
        <w:rPr>
          <w:rStyle w:val="CharSectNo"/>
        </w:rPr>
        <w:t>15</w:t>
      </w:r>
      <w:r w:rsidRPr="0040482C">
        <w:rPr>
          <w:bCs/>
        </w:rPr>
        <w:tab/>
      </w:r>
      <w:r w:rsidR="001D6079" w:rsidRPr="0040482C">
        <w:t>Licensed insurers to have annual MAI premium approved for MAI premium classes</w:t>
      </w:r>
      <w:bookmarkEnd w:id="32"/>
    </w:p>
    <w:p w14:paraId="3EA38490" w14:textId="6985759A" w:rsidR="001D6079" w:rsidRPr="0040482C" w:rsidRDefault="001D6079" w:rsidP="001D6079">
      <w:pPr>
        <w:pStyle w:val="Amainreturn"/>
      </w:pPr>
      <w:r w:rsidRPr="0040482C">
        <w:t xml:space="preserve">A licensed insurer must have an annual MAI premium approved by the MAI commission under the </w:t>
      </w:r>
      <w:hyperlink r:id="rId49" w:tooltip="Motor Accident Injuries Act 2019" w:history="1">
        <w:r w:rsidR="00957B72" w:rsidRPr="0040482C">
          <w:rPr>
            <w:rStyle w:val="charCitHyperlinkAbbrev"/>
          </w:rPr>
          <w:t>Act</w:t>
        </w:r>
      </w:hyperlink>
      <w:r w:rsidRPr="0040482C">
        <w:t xml:space="preserve">, part </w:t>
      </w:r>
      <w:r w:rsidR="00450F55" w:rsidRPr="0040482C">
        <w:t>6</w:t>
      </w:r>
      <w:r w:rsidRPr="0040482C">
        <w:t>.7 (MAI premiums), for each MAI premium class.</w:t>
      </w:r>
    </w:p>
    <w:p w14:paraId="22214BFA" w14:textId="77777777" w:rsidR="001D6079" w:rsidRPr="0040482C" w:rsidRDefault="0040482C" w:rsidP="0040482C">
      <w:pPr>
        <w:pStyle w:val="AH5Sec"/>
      </w:pPr>
      <w:bookmarkStart w:id="33" w:name="_Toc153373702"/>
      <w:r w:rsidRPr="009F0332">
        <w:rPr>
          <w:rStyle w:val="CharSectNo"/>
        </w:rPr>
        <w:lastRenderedPageBreak/>
        <w:t>16</w:t>
      </w:r>
      <w:r w:rsidRPr="0040482C">
        <w:tab/>
      </w:r>
      <w:r w:rsidR="001D6079" w:rsidRPr="0040482C">
        <w:t>MAI premium if vehicle or plate in multiple classes</w:t>
      </w:r>
      <w:bookmarkEnd w:id="33"/>
    </w:p>
    <w:p w14:paraId="726C6A1E" w14:textId="77777777" w:rsidR="001D6079" w:rsidRPr="0040482C" w:rsidRDefault="0040482C" w:rsidP="002639DD">
      <w:pPr>
        <w:pStyle w:val="Amain"/>
        <w:keepNext/>
      </w:pPr>
      <w:r>
        <w:tab/>
      </w:r>
      <w:r w:rsidRPr="0040482C">
        <w:t>(1)</w:t>
      </w:r>
      <w:r w:rsidRPr="0040482C">
        <w:tab/>
      </w:r>
      <w:r w:rsidR="001D6079" w:rsidRPr="0040482C">
        <w:t>This section applies if a motor vehicle or trader’s plate fits into 2 or more MAI premium classes.</w:t>
      </w:r>
    </w:p>
    <w:p w14:paraId="442FF8DC" w14:textId="77777777" w:rsidR="001D6079" w:rsidRPr="0040482C" w:rsidRDefault="0040482C" w:rsidP="002639DD">
      <w:pPr>
        <w:pStyle w:val="Amain"/>
        <w:keepNext/>
      </w:pPr>
      <w:r>
        <w:tab/>
      </w:r>
      <w:r w:rsidRPr="0040482C">
        <w:t>(2)</w:t>
      </w:r>
      <w:r w:rsidRPr="0040482C">
        <w:tab/>
      </w:r>
      <w:r w:rsidR="001D6079" w:rsidRPr="0040482C">
        <w:t>The maximum MAI premium payable for an MAI policy for the vehicle or plate is the higher of the maximum premiums that apply to the vehicle or plate.</w:t>
      </w:r>
    </w:p>
    <w:p w14:paraId="7F6AE26A" w14:textId="77777777" w:rsidR="001D6079" w:rsidRPr="0040482C" w:rsidRDefault="001D6079" w:rsidP="001D6079">
      <w:pPr>
        <w:pStyle w:val="aExamHdgss"/>
      </w:pPr>
      <w:r w:rsidRPr="0040482C">
        <w:t>Example</w:t>
      </w:r>
    </w:p>
    <w:p w14:paraId="427CFC30" w14:textId="77777777" w:rsidR="001D6079" w:rsidRPr="0040482C" w:rsidRDefault="001D6079" w:rsidP="00425961">
      <w:pPr>
        <w:pStyle w:val="aExamss"/>
      </w:pPr>
      <w:r w:rsidRPr="0040482C">
        <w:t>Phillipe uses his ute for car sharing. This means the ute fits into both MAI premium class 3 (goods vehicle) and class 25B (personal share vehicle). If the MAI premium is higher for class 25B than class 3, Phillipe must pay the class 25B premium.</w:t>
      </w:r>
    </w:p>
    <w:p w14:paraId="4FE384B2" w14:textId="77777777" w:rsidR="001D6079" w:rsidRPr="0040482C" w:rsidRDefault="0040482C" w:rsidP="0040482C">
      <w:pPr>
        <w:pStyle w:val="AH5Sec"/>
      </w:pPr>
      <w:bookmarkStart w:id="34" w:name="_Toc153373703"/>
      <w:r w:rsidRPr="009F0332">
        <w:rPr>
          <w:rStyle w:val="CharSectNo"/>
        </w:rPr>
        <w:t>17</w:t>
      </w:r>
      <w:r w:rsidRPr="0040482C">
        <w:tab/>
      </w:r>
      <w:r w:rsidR="001D6079" w:rsidRPr="0040482C">
        <w:t>MAI premiums for policies for less than 1 year</w:t>
      </w:r>
      <w:bookmarkEnd w:id="34"/>
    </w:p>
    <w:p w14:paraId="66667089" w14:textId="77777777" w:rsidR="001D6079" w:rsidRPr="0040482C" w:rsidRDefault="0040482C" w:rsidP="0040482C">
      <w:pPr>
        <w:pStyle w:val="Amain"/>
      </w:pPr>
      <w:r>
        <w:tab/>
      </w:r>
      <w:r w:rsidRPr="0040482C">
        <w:t>(1)</w:t>
      </w:r>
      <w:r w:rsidRPr="0040482C">
        <w:tab/>
      </w:r>
      <w:r w:rsidR="001D6079" w:rsidRPr="0040482C">
        <w:t>This section applies if a person—</w:t>
      </w:r>
    </w:p>
    <w:p w14:paraId="02F829BD" w14:textId="77777777" w:rsidR="001D6079" w:rsidRPr="0040482C" w:rsidRDefault="0040482C" w:rsidP="0040482C">
      <w:pPr>
        <w:pStyle w:val="Apara"/>
      </w:pPr>
      <w:r>
        <w:tab/>
      </w:r>
      <w:r w:rsidRPr="0040482C">
        <w:t>(a)</w:t>
      </w:r>
      <w:r w:rsidRPr="0040482C">
        <w:tab/>
      </w:r>
      <w:r w:rsidR="001D6079" w:rsidRPr="0040482C">
        <w:t>registers a motor vehicle for less than 1 year; or</w:t>
      </w:r>
    </w:p>
    <w:p w14:paraId="0565F5B4" w14:textId="77777777" w:rsidR="001D6079" w:rsidRPr="0040482C" w:rsidRDefault="0040482C" w:rsidP="0040482C">
      <w:pPr>
        <w:pStyle w:val="Apara"/>
      </w:pPr>
      <w:r>
        <w:tab/>
      </w:r>
      <w:r w:rsidRPr="0040482C">
        <w:t>(b)</w:t>
      </w:r>
      <w:r w:rsidRPr="0040482C">
        <w:tab/>
      </w:r>
      <w:r w:rsidR="001D6079" w:rsidRPr="0040482C">
        <w:t>renews the registration of a motor vehicle for less than 1 year; or</w:t>
      </w:r>
    </w:p>
    <w:p w14:paraId="338FBD28" w14:textId="77777777" w:rsidR="001D6079" w:rsidRPr="0040482C" w:rsidRDefault="0040482C" w:rsidP="0040482C">
      <w:pPr>
        <w:pStyle w:val="Apara"/>
      </w:pPr>
      <w:r>
        <w:tab/>
      </w:r>
      <w:r w:rsidRPr="0040482C">
        <w:t>(c)</w:t>
      </w:r>
      <w:r w:rsidRPr="0040482C">
        <w:tab/>
      </w:r>
      <w:r w:rsidR="001D6079" w:rsidRPr="0040482C">
        <w:t>is issued with a trader’s plate for less than 1 year; or</w:t>
      </w:r>
    </w:p>
    <w:p w14:paraId="2C586BEF" w14:textId="77777777" w:rsidR="001D6079" w:rsidRPr="0040482C" w:rsidRDefault="0040482C" w:rsidP="0040482C">
      <w:pPr>
        <w:pStyle w:val="Apara"/>
        <w:keepNext/>
      </w:pPr>
      <w:r>
        <w:tab/>
      </w:r>
      <w:r w:rsidRPr="0040482C">
        <w:t>(d)</w:t>
      </w:r>
      <w:r w:rsidRPr="0040482C">
        <w:tab/>
      </w:r>
      <w:r w:rsidR="001D6079" w:rsidRPr="0040482C">
        <w:t>enters into an MAI policy for a light rail vehicle for less than 1 year.</w:t>
      </w:r>
    </w:p>
    <w:p w14:paraId="57317432" w14:textId="77777777" w:rsidR="001D6079" w:rsidRPr="0040482C" w:rsidRDefault="001D6079" w:rsidP="001D6079">
      <w:pPr>
        <w:pStyle w:val="aNote"/>
        <w:keepNext/>
      </w:pPr>
      <w:r w:rsidRPr="0040482C">
        <w:rPr>
          <w:rStyle w:val="charItals"/>
        </w:rPr>
        <w:t>Note</w:t>
      </w:r>
      <w:r w:rsidRPr="0040482C">
        <w:rPr>
          <w:rStyle w:val="charItals"/>
        </w:rPr>
        <w:tab/>
      </w:r>
      <w:r w:rsidRPr="0040482C">
        <w:t>An MAI premium for an MAI policy must be paid when—</w:t>
      </w:r>
    </w:p>
    <w:p w14:paraId="1F43857C" w14:textId="79E0378F" w:rsidR="001D6079" w:rsidRPr="0040482C" w:rsidRDefault="001D6079" w:rsidP="001D6079">
      <w:pPr>
        <w:pStyle w:val="aNotePara"/>
        <w:keepNext/>
      </w:pPr>
      <w:r w:rsidRPr="0040482C">
        <w:tab/>
        <w:t>(a)</w:t>
      </w:r>
      <w:r w:rsidRPr="0040482C">
        <w:tab/>
        <w:t xml:space="preserve">registering a vehicle (see </w:t>
      </w:r>
      <w:hyperlink r:id="rId50" w:tooltip="Motor Accident Injuries Act 2019" w:history="1">
        <w:r w:rsidR="00C9347F" w:rsidRPr="008C00DC">
          <w:rPr>
            <w:rStyle w:val="charCitHyperlinkAbbrev"/>
          </w:rPr>
          <w:t>Act</w:t>
        </w:r>
      </w:hyperlink>
      <w:r w:rsidRPr="0040482C">
        <w:t>, s 2</w:t>
      </w:r>
      <w:r w:rsidR="006D6F75" w:rsidRPr="0040482C">
        <w:t>98</w:t>
      </w:r>
      <w:r w:rsidRPr="0040482C">
        <w:t>); and</w:t>
      </w:r>
    </w:p>
    <w:p w14:paraId="7C64A3A2" w14:textId="52391566" w:rsidR="001D6079" w:rsidRPr="0040482C" w:rsidRDefault="001D6079" w:rsidP="001D6079">
      <w:pPr>
        <w:pStyle w:val="aNotePara"/>
        <w:keepNext/>
      </w:pPr>
      <w:r w:rsidRPr="0040482C">
        <w:tab/>
        <w:t>(b)</w:t>
      </w:r>
      <w:r w:rsidRPr="0040482C">
        <w:tab/>
        <w:t xml:space="preserve">renewing the registration of a vehicle (see </w:t>
      </w:r>
      <w:hyperlink r:id="rId51" w:tooltip="Motor Accident Injuries Act 2019" w:history="1">
        <w:r w:rsidR="00C9347F" w:rsidRPr="008C00DC">
          <w:rPr>
            <w:rStyle w:val="charCitHyperlinkAbbrev"/>
          </w:rPr>
          <w:t>Act</w:t>
        </w:r>
      </w:hyperlink>
      <w:r w:rsidR="004D2D14" w:rsidRPr="0040482C">
        <w:t>, s </w:t>
      </w:r>
      <w:r w:rsidR="00155BB7" w:rsidRPr="0040482C">
        <w:t>299</w:t>
      </w:r>
      <w:r w:rsidRPr="0040482C">
        <w:t>); and</w:t>
      </w:r>
    </w:p>
    <w:p w14:paraId="3BE689E5" w14:textId="013E88ED" w:rsidR="001D6079" w:rsidRPr="0040482C" w:rsidRDefault="001D6079" w:rsidP="001D6079">
      <w:pPr>
        <w:pStyle w:val="aNotePara"/>
        <w:keepNext/>
      </w:pPr>
      <w:r w:rsidRPr="0040482C">
        <w:tab/>
        <w:t>(c)</w:t>
      </w:r>
      <w:r w:rsidRPr="0040482C">
        <w:tab/>
        <w:t xml:space="preserve">applying for a trader’s plate (see </w:t>
      </w:r>
      <w:hyperlink r:id="rId52" w:tooltip="Motor Accident Injuries Act 2019" w:history="1">
        <w:r w:rsidR="00C9347F" w:rsidRPr="008C00DC">
          <w:rPr>
            <w:rStyle w:val="charCitHyperlinkAbbrev"/>
          </w:rPr>
          <w:t>Act</w:t>
        </w:r>
      </w:hyperlink>
      <w:r w:rsidRPr="0040482C">
        <w:t>, s </w:t>
      </w:r>
      <w:r w:rsidR="00155BB7" w:rsidRPr="0040482C">
        <w:t>300</w:t>
      </w:r>
      <w:r w:rsidRPr="0040482C">
        <w:t>); and</w:t>
      </w:r>
    </w:p>
    <w:p w14:paraId="1644DC67" w14:textId="3FD8E182" w:rsidR="001D6079" w:rsidRPr="0040482C" w:rsidRDefault="001D6079" w:rsidP="001D6079">
      <w:pPr>
        <w:pStyle w:val="aNotePara"/>
      </w:pPr>
      <w:r w:rsidRPr="0040482C">
        <w:tab/>
        <w:t>(d)</w:t>
      </w:r>
      <w:r w:rsidRPr="0040482C">
        <w:tab/>
        <w:t xml:space="preserve">intending to use a light rail vehicle (see </w:t>
      </w:r>
      <w:hyperlink r:id="rId53" w:tooltip="Motor Accident Injuries Act 2019" w:history="1">
        <w:r w:rsidR="00C9347F" w:rsidRPr="008C00DC">
          <w:rPr>
            <w:rStyle w:val="charCitHyperlinkAbbrev"/>
          </w:rPr>
          <w:t>Act</w:t>
        </w:r>
      </w:hyperlink>
      <w:r w:rsidR="00333014" w:rsidRPr="0040482C">
        <w:t>, s </w:t>
      </w:r>
      <w:r w:rsidR="00155BB7" w:rsidRPr="0040482C">
        <w:t>301</w:t>
      </w:r>
      <w:r w:rsidRPr="0040482C">
        <w:t>).</w:t>
      </w:r>
    </w:p>
    <w:p w14:paraId="6AC81676" w14:textId="77777777" w:rsidR="001D6079" w:rsidRPr="0040482C" w:rsidRDefault="0040482C" w:rsidP="0040482C">
      <w:pPr>
        <w:pStyle w:val="Amain"/>
      </w:pPr>
      <w:r>
        <w:tab/>
      </w:r>
      <w:r w:rsidRPr="0040482C">
        <w:t>(2)</w:t>
      </w:r>
      <w:r w:rsidRPr="0040482C">
        <w:tab/>
      </w:r>
      <w:r w:rsidR="001D6079" w:rsidRPr="0040482C">
        <w:t xml:space="preserve">The maximum </w:t>
      </w:r>
      <w:r w:rsidR="00BA3C17" w:rsidRPr="0040482C">
        <w:t>MAI</w:t>
      </w:r>
      <w:r w:rsidR="001D6079" w:rsidRPr="0040482C">
        <w:t> premium payable for a</w:t>
      </w:r>
      <w:r w:rsidR="00BA3C17" w:rsidRPr="0040482C">
        <w:t>n</w:t>
      </w:r>
      <w:r w:rsidR="001D6079" w:rsidRPr="0040482C">
        <w:t xml:space="preserve"> </w:t>
      </w:r>
      <w:r w:rsidR="00BA3C17" w:rsidRPr="0040482C">
        <w:t>MAI</w:t>
      </w:r>
      <w:r w:rsidR="001D6079" w:rsidRPr="0040482C">
        <w:t xml:space="preserve"> policy for the vehicle or plate must be worked out in accordance with the </w:t>
      </w:r>
      <w:r w:rsidR="00BA3C17" w:rsidRPr="0040482C">
        <w:t>MAI</w:t>
      </w:r>
      <w:r w:rsidR="001D6079" w:rsidRPr="0040482C">
        <w:t xml:space="preserve"> guidelines.</w:t>
      </w:r>
    </w:p>
    <w:p w14:paraId="19128BCE" w14:textId="77777777" w:rsidR="001D6079" w:rsidRPr="0040482C" w:rsidRDefault="0040482C" w:rsidP="0040482C">
      <w:pPr>
        <w:pStyle w:val="AH5Sec"/>
      </w:pPr>
      <w:bookmarkStart w:id="35" w:name="_Toc153373704"/>
      <w:r w:rsidRPr="009F0332">
        <w:rPr>
          <w:rStyle w:val="CharSectNo"/>
        </w:rPr>
        <w:lastRenderedPageBreak/>
        <w:t>18</w:t>
      </w:r>
      <w:r w:rsidRPr="0040482C">
        <w:tab/>
      </w:r>
      <w:r w:rsidR="001D6079" w:rsidRPr="0040482C">
        <w:t xml:space="preserve">Additional </w:t>
      </w:r>
      <w:r w:rsidR="00BA3C17" w:rsidRPr="0040482C">
        <w:t>MAI</w:t>
      </w:r>
      <w:r w:rsidR="001D6079" w:rsidRPr="0040482C">
        <w:t> premium payable if change in construction or use of vehicle</w:t>
      </w:r>
      <w:bookmarkEnd w:id="35"/>
    </w:p>
    <w:p w14:paraId="778A16B4" w14:textId="77777777" w:rsidR="001D6079" w:rsidRPr="0040482C" w:rsidRDefault="0040482C" w:rsidP="0040482C">
      <w:pPr>
        <w:pStyle w:val="Amain"/>
      </w:pPr>
      <w:r>
        <w:tab/>
      </w:r>
      <w:r w:rsidRPr="0040482C">
        <w:t>(1)</w:t>
      </w:r>
      <w:r w:rsidRPr="0040482C">
        <w:tab/>
      </w:r>
      <w:r w:rsidR="001D6079" w:rsidRPr="0040482C">
        <w:t>This section applies if—</w:t>
      </w:r>
    </w:p>
    <w:p w14:paraId="0795F26D" w14:textId="77777777" w:rsidR="001D6079" w:rsidRPr="0040482C" w:rsidRDefault="0040482C" w:rsidP="0040482C">
      <w:pPr>
        <w:pStyle w:val="Apara"/>
      </w:pPr>
      <w:r>
        <w:tab/>
      </w:r>
      <w:r w:rsidRPr="0040482C">
        <w:t>(a)</w:t>
      </w:r>
      <w:r w:rsidRPr="0040482C">
        <w:tab/>
      </w:r>
      <w:r w:rsidR="00BA3C17" w:rsidRPr="0040482C">
        <w:t>an MAI</w:t>
      </w:r>
      <w:r w:rsidR="001D6079" w:rsidRPr="0040482C">
        <w:t xml:space="preserve"> premium (the </w:t>
      </w:r>
      <w:r w:rsidR="001D6079" w:rsidRPr="0040482C">
        <w:rPr>
          <w:rStyle w:val="charBoldItals"/>
        </w:rPr>
        <w:t>original premium</w:t>
      </w:r>
      <w:r w:rsidR="001D6079" w:rsidRPr="0040482C">
        <w:t>) has been paid for a</w:t>
      </w:r>
      <w:r w:rsidR="00BA3C17" w:rsidRPr="0040482C">
        <w:t>n MAI</w:t>
      </w:r>
      <w:r w:rsidR="001D6079" w:rsidRPr="0040482C">
        <w:t> policy for a motor vehicle; and</w:t>
      </w:r>
    </w:p>
    <w:p w14:paraId="1E81FCF7" w14:textId="77777777" w:rsidR="001D6079" w:rsidRPr="0040482C" w:rsidRDefault="0040482C" w:rsidP="0040482C">
      <w:pPr>
        <w:pStyle w:val="Apara"/>
      </w:pPr>
      <w:r>
        <w:tab/>
      </w:r>
      <w:r w:rsidRPr="0040482C">
        <w:t>(b)</w:t>
      </w:r>
      <w:r w:rsidRPr="0040482C">
        <w:tab/>
      </w:r>
      <w:r w:rsidR="001D6079" w:rsidRPr="0040482C">
        <w:t>a change is made in the construction or use of the motor vehicle; and</w:t>
      </w:r>
    </w:p>
    <w:p w14:paraId="7BD26080" w14:textId="77777777" w:rsidR="001D6079" w:rsidRPr="0040482C" w:rsidRDefault="0040482C" w:rsidP="0040482C">
      <w:pPr>
        <w:pStyle w:val="Apara"/>
      </w:pPr>
      <w:r>
        <w:tab/>
      </w:r>
      <w:r w:rsidRPr="0040482C">
        <w:t>(c)</w:t>
      </w:r>
      <w:r w:rsidRPr="0040482C">
        <w:tab/>
      </w:r>
      <w:r w:rsidR="001D6079" w:rsidRPr="0040482C">
        <w:t>bec</w:t>
      </w:r>
      <w:r w:rsidR="00BA3C17" w:rsidRPr="0040482C">
        <w:t>ause of the change, a higher MAI</w:t>
      </w:r>
      <w:r w:rsidR="001D6079" w:rsidRPr="0040482C">
        <w:t> premium than the original premi</w:t>
      </w:r>
      <w:r w:rsidR="00BA3C17" w:rsidRPr="0040482C">
        <w:t>um would be payable if a new MAI</w:t>
      </w:r>
      <w:r w:rsidR="001D6079" w:rsidRPr="0040482C">
        <w:t> policy were issued for the motor vehicle.</w:t>
      </w:r>
    </w:p>
    <w:p w14:paraId="50CD075C" w14:textId="77777777" w:rsidR="00B8223D" w:rsidRPr="0040482C" w:rsidRDefault="0040482C" w:rsidP="0040482C">
      <w:pPr>
        <w:pStyle w:val="Amain"/>
      </w:pPr>
      <w:r>
        <w:tab/>
      </w:r>
      <w:r w:rsidRPr="0040482C">
        <w:t>(2)</w:t>
      </w:r>
      <w:r w:rsidRPr="0040482C">
        <w:tab/>
      </w:r>
      <w:r w:rsidR="001D6079" w:rsidRPr="0040482C">
        <w:t>The owner of the motor vehicle is</w:t>
      </w:r>
      <w:r w:rsidR="00BA3C17" w:rsidRPr="0040482C">
        <w:t xml:space="preserve"> liable to pay an additional MAI</w:t>
      </w:r>
      <w:r w:rsidR="001D6079" w:rsidRPr="0040482C">
        <w:t xml:space="preserve"> premium, starting on the day the change happens, worked out in accordance with the </w:t>
      </w:r>
      <w:r w:rsidR="00BA3C17" w:rsidRPr="0040482C">
        <w:t>MAI guidelines</w:t>
      </w:r>
      <w:r w:rsidR="001D6079" w:rsidRPr="0040482C">
        <w:t>.</w:t>
      </w:r>
    </w:p>
    <w:p w14:paraId="64A02DCF" w14:textId="77777777" w:rsidR="008E18D7" w:rsidRPr="0040482C" w:rsidRDefault="008E18D7" w:rsidP="008E18D7">
      <w:pPr>
        <w:pStyle w:val="PageBreak"/>
      </w:pPr>
      <w:r w:rsidRPr="0040482C">
        <w:br w:type="page"/>
      </w:r>
    </w:p>
    <w:p w14:paraId="700A52C9" w14:textId="77777777" w:rsidR="00A835F4" w:rsidRPr="009F0332" w:rsidRDefault="0040482C" w:rsidP="0040482C">
      <w:pPr>
        <w:pStyle w:val="AH2Part"/>
      </w:pPr>
      <w:bookmarkStart w:id="36" w:name="_Toc153373705"/>
      <w:r w:rsidRPr="009F0332">
        <w:rPr>
          <w:rStyle w:val="CharPartNo"/>
        </w:rPr>
        <w:lastRenderedPageBreak/>
        <w:t>Part 5</w:t>
      </w:r>
      <w:r w:rsidRPr="0040482C">
        <w:tab/>
      </w:r>
      <w:r w:rsidR="00EB6118" w:rsidRPr="009F0332">
        <w:rPr>
          <w:rStyle w:val="CharPartText"/>
        </w:rPr>
        <w:t>Nominal defendant</w:t>
      </w:r>
      <w:bookmarkEnd w:id="36"/>
    </w:p>
    <w:p w14:paraId="5716DB22" w14:textId="77777777" w:rsidR="00EB6118" w:rsidRPr="009F0332" w:rsidRDefault="0040482C" w:rsidP="0040482C">
      <w:pPr>
        <w:pStyle w:val="AH3Div"/>
      </w:pPr>
      <w:bookmarkStart w:id="37" w:name="_Toc153373706"/>
      <w:r w:rsidRPr="009F0332">
        <w:rPr>
          <w:rStyle w:val="CharDivNo"/>
        </w:rPr>
        <w:t>Division 5.1</w:t>
      </w:r>
      <w:r w:rsidRPr="0040482C">
        <w:tab/>
      </w:r>
      <w:r w:rsidR="00A835F4" w:rsidRPr="009F0332">
        <w:rPr>
          <w:rStyle w:val="CharDivText"/>
        </w:rPr>
        <w:t>Nominal defendant</w:t>
      </w:r>
      <w:r w:rsidR="00EB6118" w:rsidRPr="009F0332">
        <w:rPr>
          <w:rStyle w:val="CharDivText"/>
        </w:rPr>
        <w:t>’s liabilities</w:t>
      </w:r>
      <w:bookmarkEnd w:id="37"/>
    </w:p>
    <w:p w14:paraId="22E199C5" w14:textId="77777777" w:rsidR="00EB6118" w:rsidRPr="0040482C" w:rsidRDefault="0040482C" w:rsidP="0040482C">
      <w:pPr>
        <w:pStyle w:val="AH5Sec"/>
      </w:pPr>
      <w:bookmarkStart w:id="38" w:name="_Toc153373707"/>
      <w:r w:rsidRPr="009F0332">
        <w:rPr>
          <w:rStyle w:val="CharSectNo"/>
        </w:rPr>
        <w:t>19</w:t>
      </w:r>
      <w:r w:rsidRPr="0040482C">
        <w:tab/>
      </w:r>
      <w:r w:rsidR="00EB6118" w:rsidRPr="0040482C">
        <w:t>Circumstances in which motor vehicle has sufficien</w:t>
      </w:r>
      <w:r w:rsidR="00387D75" w:rsidRPr="0040482C">
        <w:t>t connection with ACT—Act, s </w:t>
      </w:r>
      <w:r w:rsidR="00D21DE0" w:rsidRPr="0040482C">
        <w:t>326</w:t>
      </w:r>
      <w:r w:rsidR="00EB6118" w:rsidRPr="0040482C">
        <w:t> (4)</w:t>
      </w:r>
      <w:bookmarkEnd w:id="38"/>
    </w:p>
    <w:p w14:paraId="43D4DC0E" w14:textId="77777777" w:rsidR="00EB6118" w:rsidRPr="0040482C" w:rsidRDefault="00EB6118" w:rsidP="00EB6118">
      <w:pPr>
        <w:pStyle w:val="Amainreturn"/>
      </w:pPr>
      <w:r w:rsidRPr="0040482C">
        <w:t>A motor vehicle has sufficient connection with the ACT if</w:t>
      </w:r>
      <w:r w:rsidR="00A835F4" w:rsidRPr="0040482C">
        <w:t xml:space="preserve"> the motor vehicle</w:t>
      </w:r>
      <w:r w:rsidRPr="0040482C">
        <w:t>—</w:t>
      </w:r>
    </w:p>
    <w:p w14:paraId="580AD57C" w14:textId="77777777" w:rsidR="00EB6118" w:rsidRPr="0040482C" w:rsidRDefault="0040482C" w:rsidP="0040482C">
      <w:pPr>
        <w:pStyle w:val="Apara"/>
      </w:pPr>
      <w:r>
        <w:tab/>
      </w:r>
      <w:r w:rsidRPr="0040482C">
        <w:t>(a)</w:t>
      </w:r>
      <w:r w:rsidRPr="0040482C">
        <w:tab/>
      </w:r>
      <w:r w:rsidR="00EB6118" w:rsidRPr="0040482C">
        <w:t>is usual</w:t>
      </w:r>
      <w:r w:rsidR="00A835F4" w:rsidRPr="0040482C">
        <w:t>ly used and garaged in the ACT; or</w:t>
      </w:r>
    </w:p>
    <w:p w14:paraId="32ACCC11" w14:textId="77777777" w:rsidR="00A835F4" w:rsidRPr="0040482C" w:rsidRDefault="0040482C" w:rsidP="0040482C">
      <w:pPr>
        <w:pStyle w:val="Apara"/>
      </w:pPr>
      <w:r>
        <w:tab/>
      </w:r>
      <w:r w:rsidRPr="0040482C">
        <w:t>(b)</w:t>
      </w:r>
      <w:r w:rsidRPr="0040482C">
        <w:tab/>
      </w:r>
      <w:r w:rsidR="00A835F4" w:rsidRPr="0040482C">
        <w:t>is usually used for a business that has its principal place of business in the ACT; or</w:t>
      </w:r>
    </w:p>
    <w:p w14:paraId="2A1D6FBC" w14:textId="77777777" w:rsidR="00A835F4" w:rsidRPr="0040482C" w:rsidRDefault="0040482C" w:rsidP="0040482C">
      <w:pPr>
        <w:pStyle w:val="Apara"/>
      </w:pPr>
      <w:r>
        <w:tab/>
      </w:r>
      <w:r w:rsidRPr="0040482C">
        <w:t>(c)</w:t>
      </w:r>
      <w:r w:rsidRPr="0040482C">
        <w:tab/>
      </w:r>
      <w:r w:rsidR="00A835F4" w:rsidRPr="0040482C">
        <w:t xml:space="preserve">is in the ACT at the time of the motor accident and there is no place outside the ACT where a claim in relation to personal injury could be made against a nominal defendant in relation to the motor accident. </w:t>
      </w:r>
    </w:p>
    <w:p w14:paraId="465444AE" w14:textId="77777777" w:rsidR="00A835F4" w:rsidRPr="009F0332" w:rsidRDefault="0040482C" w:rsidP="0040482C">
      <w:pPr>
        <w:pStyle w:val="AH3Div"/>
      </w:pPr>
      <w:bookmarkStart w:id="39" w:name="_Toc153373708"/>
      <w:r w:rsidRPr="009F0332">
        <w:rPr>
          <w:rStyle w:val="CharDivNo"/>
        </w:rPr>
        <w:t>Division 5.2</w:t>
      </w:r>
      <w:r w:rsidRPr="0040482C">
        <w:tab/>
      </w:r>
      <w:r w:rsidR="00A835F4" w:rsidRPr="009F0332">
        <w:rPr>
          <w:rStyle w:val="CharDivText"/>
        </w:rPr>
        <w:t>Nominal defendant fund</w:t>
      </w:r>
      <w:bookmarkEnd w:id="39"/>
      <w:r w:rsidR="00A835F4" w:rsidRPr="009F0332">
        <w:rPr>
          <w:rStyle w:val="CharDivText"/>
        </w:rPr>
        <w:t xml:space="preserve"> </w:t>
      </w:r>
    </w:p>
    <w:p w14:paraId="29DBA8B2" w14:textId="77777777" w:rsidR="00A835F4" w:rsidRPr="0040482C" w:rsidRDefault="0040482C" w:rsidP="0040482C">
      <w:pPr>
        <w:pStyle w:val="AH5Sec"/>
      </w:pPr>
      <w:bookmarkStart w:id="40" w:name="_Toc153373709"/>
      <w:r w:rsidRPr="009F0332">
        <w:rPr>
          <w:rStyle w:val="CharSectNo"/>
        </w:rPr>
        <w:t>20</w:t>
      </w:r>
      <w:r w:rsidRPr="0040482C">
        <w:tab/>
      </w:r>
      <w:r w:rsidR="00A835F4" w:rsidRPr="0040482C">
        <w:t>Collections for nominal defendant fund—prescribed person—Act, s </w:t>
      </w:r>
      <w:r w:rsidR="00D21DE0" w:rsidRPr="0040482C">
        <w:t>331</w:t>
      </w:r>
      <w:r w:rsidR="00A835F4" w:rsidRPr="0040482C">
        <w:t> (1) (a)</w:t>
      </w:r>
      <w:bookmarkEnd w:id="40"/>
    </w:p>
    <w:p w14:paraId="6AE37433" w14:textId="77777777" w:rsidR="00A835F4" w:rsidRPr="0040482C" w:rsidRDefault="00A835F4" w:rsidP="00A835F4">
      <w:pPr>
        <w:pStyle w:val="Amainreturn"/>
        <w:keepNext/>
      </w:pPr>
      <w:r w:rsidRPr="0040482C">
        <w:rPr>
          <w:noProof/>
        </w:rPr>
        <w:t xml:space="preserve">The following people (each of whom is a </w:t>
      </w:r>
      <w:r w:rsidRPr="0040482C">
        <w:rPr>
          <w:rStyle w:val="charBoldItals"/>
        </w:rPr>
        <w:t>prescribed person</w:t>
      </w:r>
      <w:r w:rsidRPr="0040482C">
        <w:t>) are prescribed</w:t>
      </w:r>
      <w:r w:rsidRPr="0040482C">
        <w:rPr>
          <w:noProof/>
        </w:rPr>
        <w:t>:</w:t>
      </w:r>
    </w:p>
    <w:p w14:paraId="32EDC9EE" w14:textId="77777777" w:rsidR="00A835F4" w:rsidRPr="0040482C" w:rsidRDefault="0040482C" w:rsidP="0040482C">
      <w:pPr>
        <w:pStyle w:val="Apara"/>
      </w:pPr>
      <w:r>
        <w:tab/>
      </w:r>
      <w:r w:rsidRPr="0040482C">
        <w:t>(a)</w:t>
      </w:r>
      <w:r w:rsidRPr="0040482C">
        <w:tab/>
      </w:r>
      <w:r w:rsidR="00A835F4" w:rsidRPr="0040482C">
        <w:t>each licensed insurer;</w:t>
      </w:r>
    </w:p>
    <w:p w14:paraId="67687D9C" w14:textId="77777777" w:rsidR="00A835F4" w:rsidRPr="0040482C" w:rsidRDefault="0040482C" w:rsidP="0040482C">
      <w:pPr>
        <w:pStyle w:val="Apara"/>
      </w:pPr>
      <w:r>
        <w:tab/>
      </w:r>
      <w:r w:rsidRPr="0040482C">
        <w:t>(b)</w:t>
      </w:r>
      <w:r w:rsidRPr="0040482C">
        <w:tab/>
      </w:r>
      <w:r w:rsidR="00A835F4" w:rsidRPr="0040482C">
        <w:t>the Territory;</w:t>
      </w:r>
    </w:p>
    <w:p w14:paraId="2EA7B4D2" w14:textId="77777777" w:rsidR="00A835F4" w:rsidRPr="0040482C" w:rsidRDefault="0040482C" w:rsidP="0040482C">
      <w:pPr>
        <w:pStyle w:val="Apara"/>
      </w:pPr>
      <w:r>
        <w:tab/>
      </w:r>
      <w:r w:rsidRPr="0040482C">
        <w:t>(c)</w:t>
      </w:r>
      <w:r w:rsidRPr="0040482C">
        <w:tab/>
      </w:r>
      <w:r w:rsidR="00A835F4" w:rsidRPr="0040482C">
        <w:t>the Commonwealth.</w:t>
      </w:r>
    </w:p>
    <w:p w14:paraId="72D0AC62" w14:textId="77777777" w:rsidR="00A835F4" w:rsidRPr="0040482C" w:rsidRDefault="0040482C" w:rsidP="0040482C">
      <w:pPr>
        <w:pStyle w:val="AH5Sec"/>
      </w:pPr>
      <w:bookmarkStart w:id="41" w:name="_Toc153373710"/>
      <w:r w:rsidRPr="009F0332">
        <w:rPr>
          <w:rStyle w:val="CharSectNo"/>
        </w:rPr>
        <w:lastRenderedPageBreak/>
        <w:t>21</w:t>
      </w:r>
      <w:r w:rsidRPr="0040482C">
        <w:tab/>
      </w:r>
      <w:r w:rsidR="00A835F4" w:rsidRPr="0040482C">
        <w:t>Collections for nominal defendant fund—arrangements—Act, s </w:t>
      </w:r>
      <w:r w:rsidR="00D21DE0" w:rsidRPr="0040482C">
        <w:t>331 </w:t>
      </w:r>
      <w:r w:rsidR="00A835F4" w:rsidRPr="0040482C">
        <w:t>(1) (b)</w:t>
      </w:r>
      <w:bookmarkEnd w:id="41"/>
    </w:p>
    <w:p w14:paraId="4A723279" w14:textId="5FA9D52B" w:rsidR="00A835F4" w:rsidRPr="0040482C" w:rsidRDefault="0040482C" w:rsidP="002639DD">
      <w:pPr>
        <w:pStyle w:val="Amain"/>
        <w:keepNext/>
      </w:pPr>
      <w:r>
        <w:tab/>
      </w:r>
      <w:r w:rsidRPr="0040482C">
        <w:t>(1)</w:t>
      </w:r>
      <w:r w:rsidRPr="0040482C">
        <w:tab/>
      </w:r>
      <w:r w:rsidR="00A835F4" w:rsidRPr="0040482C">
        <w:t xml:space="preserve">This section applies if </w:t>
      </w:r>
      <w:r w:rsidR="00387D75" w:rsidRPr="0040482C">
        <w:t xml:space="preserve">the </w:t>
      </w:r>
      <w:r w:rsidR="00A835F4" w:rsidRPr="0040482C">
        <w:t xml:space="preserve">MAI commission decides an amount to be collected for a financial year under the </w:t>
      </w:r>
      <w:hyperlink r:id="rId54" w:tooltip="Motor Accident Injuries Act 2019" w:history="1">
        <w:r w:rsidR="006D48C8" w:rsidRPr="0040482C">
          <w:rPr>
            <w:rStyle w:val="charCitHyperlinkAbbrev"/>
          </w:rPr>
          <w:t>Act</w:t>
        </w:r>
      </w:hyperlink>
      <w:r w:rsidR="00A835F4" w:rsidRPr="0040482C">
        <w:t>, section </w:t>
      </w:r>
      <w:r w:rsidR="00387D75" w:rsidRPr="0040482C">
        <w:t>3</w:t>
      </w:r>
      <w:r w:rsidR="006930F3" w:rsidRPr="0040482C">
        <w:t>31</w:t>
      </w:r>
      <w:r w:rsidR="00387D75" w:rsidRPr="0040482C">
        <w:t> </w:t>
      </w:r>
      <w:r w:rsidR="00A835F4" w:rsidRPr="0040482C">
        <w:t>(2).</w:t>
      </w:r>
    </w:p>
    <w:p w14:paraId="1A072400" w14:textId="77777777" w:rsidR="00A835F4" w:rsidRPr="0040482C" w:rsidRDefault="0040482C" w:rsidP="0040482C">
      <w:pPr>
        <w:pStyle w:val="Amain"/>
      </w:pPr>
      <w:r>
        <w:tab/>
      </w:r>
      <w:r w:rsidRPr="0040482C">
        <w:t>(2)</w:t>
      </w:r>
      <w:r w:rsidRPr="0040482C">
        <w:tab/>
      </w:r>
      <w:r w:rsidR="00A835F4" w:rsidRPr="0040482C">
        <w:t>The MAI commission must decide what proportion of the amount is to be paid by each prescribed person each quarter.</w:t>
      </w:r>
    </w:p>
    <w:p w14:paraId="1EFCD7E3" w14:textId="77777777" w:rsidR="00A835F4" w:rsidRPr="0040482C" w:rsidRDefault="0040482C" w:rsidP="0040482C">
      <w:pPr>
        <w:pStyle w:val="Amain"/>
      </w:pPr>
      <w:r>
        <w:tab/>
      </w:r>
      <w:r w:rsidRPr="0040482C">
        <w:t>(3)</w:t>
      </w:r>
      <w:r w:rsidRPr="0040482C">
        <w:tab/>
      </w:r>
      <w:r w:rsidR="00A835F4" w:rsidRPr="0040482C">
        <w:t xml:space="preserve">In deciding a prescribed person’s proportion for a quarter, the </w:t>
      </w:r>
      <w:r w:rsidR="00351E47" w:rsidRPr="0040482C">
        <w:t>MAI commission</w:t>
      </w:r>
      <w:r w:rsidR="00A835F4" w:rsidRPr="0040482C">
        <w:t xml:space="preserve"> must have regard to—</w:t>
      </w:r>
    </w:p>
    <w:p w14:paraId="64F2E8AB" w14:textId="77777777" w:rsidR="00A835F4" w:rsidRPr="0040482C" w:rsidRDefault="0040482C" w:rsidP="0040482C">
      <w:pPr>
        <w:pStyle w:val="Apara"/>
      </w:pPr>
      <w:r>
        <w:tab/>
      </w:r>
      <w:r w:rsidRPr="0040482C">
        <w:t>(a)</w:t>
      </w:r>
      <w:r w:rsidRPr="0040482C">
        <w:tab/>
      </w:r>
      <w:r w:rsidR="00A835F4" w:rsidRPr="0040482C">
        <w:t xml:space="preserve">for a licensed insurer—the income received by the insurer for </w:t>
      </w:r>
      <w:r w:rsidR="00351E47" w:rsidRPr="0040482C">
        <w:t>MAI</w:t>
      </w:r>
      <w:r w:rsidR="00A835F4" w:rsidRPr="0040482C">
        <w:t xml:space="preserve"> policy premiums in the previous quarter; and</w:t>
      </w:r>
    </w:p>
    <w:p w14:paraId="55D4D3B8" w14:textId="77777777" w:rsidR="00A835F4" w:rsidRPr="0040482C" w:rsidRDefault="0040482C" w:rsidP="0040482C">
      <w:pPr>
        <w:pStyle w:val="Apara"/>
      </w:pPr>
      <w:r>
        <w:tab/>
      </w:r>
      <w:r w:rsidRPr="0040482C">
        <w:t>(b)</w:t>
      </w:r>
      <w:r w:rsidRPr="0040482C">
        <w:tab/>
      </w:r>
      <w:r w:rsidR="00A835F4" w:rsidRPr="0040482C">
        <w:t xml:space="preserve">for the Territory—the premiums that would have been payable for territory government vehicles in the previous quarter if the vehicles had been insured under </w:t>
      </w:r>
      <w:r w:rsidR="00351E47" w:rsidRPr="0040482C">
        <w:t>MAI</w:t>
      </w:r>
      <w:r w:rsidR="00A835F4" w:rsidRPr="0040482C">
        <w:t xml:space="preserve"> policies; and</w:t>
      </w:r>
    </w:p>
    <w:p w14:paraId="60CB0D63" w14:textId="77777777" w:rsidR="00A835F4" w:rsidRPr="0040482C" w:rsidRDefault="0040482C" w:rsidP="0040482C">
      <w:pPr>
        <w:pStyle w:val="Apara"/>
      </w:pPr>
      <w:r>
        <w:tab/>
      </w:r>
      <w:r w:rsidRPr="0040482C">
        <w:t>(c)</w:t>
      </w:r>
      <w:r w:rsidRPr="0040482C">
        <w:tab/>
      </w:r>
      <w:r w:rsidR="00A835F4" w:rsidRPr="0040482C">
        <w:t xml:space="preserve">for the Commonwealth—the premiums that would have been payable for commonwealth government vehicles in the previous quarter if the vehicles had been insured under </w:t>
      </w:r>
      <w:r w:rsidR="00351E47" w:rsidRPr="0040482C">
        <w:t>MAI</w:t>
      </w:r>
      <w:r w:rsidR="00A835F4" w:rsidRPr="0040482C">
        <w:t xml:space="preserve"> policies.</w:t>
      </w:r>
    </w:p>
    <w:p w14:paraId="68CD7D1B" w14:textId="77777777" w:rsidR="00A835F4" w:rsidRPr="0040482C" w:rsidRDefault="0040482C" w:rsidP="0040482C">
      <w:pPr>
        <w:pStyle w:val="Amain"/>
      </w:pPr>
      <w:r>
        <w:tab/>
      </w:r>
      <w:r w:rsidRPr="0040482C">
        <w:t>(4)</w:t>
      </w:r>
      <w:r w:rsidRPr="0040482C">
        <w:tab/>
      </w:r>
      <w:r w:rsidR="00A835F4" w:rsidRPr="0040482C">
        <w:t>In this section:</w:t>
      </w:r>
    </w:p>
    <w:p w14:paraId="2E457576" w14:textId="77777777" w:rsidR="00A835F4" w:rsidRPr="0040482C" w:rsidRDefault="00A835F4" w:rsidP="0040482C">
      <w:pPr>
        <w:pStyle w:val="aDef"/>
      </w:pPr>
      <w:r w:rsidRPr="0040482C">
        <w:rPr>
          <w:rStyle w:val="charBoldItals"/>
        </w:rPr>
        <w:t>commonwealth authority</w:t>
      </w:r>
      <w:r w:rsidRPr="0040482C">
        <w:t xml:space="preserve"> means a body, whether or not incorporated, established under a Commonwealth Act.</w:t>
      </w:r>
    </w:p>
    <w:p w14:paraId="39B804FD" w14:textId="77777777" w:rsidR="00A835F4" w:rsidRPr="0040482C" w:rsidRDefault="00A835F4" w:rsidP="0040482C">
      <w:pPr>
        <w:pStyle w:val="aDef"/>
      </w:pPr>
      <w:r w:rsidRPr="0040482C">
        <w:rPr>
          <w:rStyle w:val="charBoldItals"/>
        </w:rPr>
        <w:t>commonwealth government vehicle</w:t>
      </w:r>
      <w:r w:rsidRPr="0040482C">
        <w:rPr>
          <w:bCs/>
          <w:iCs/>
        </w:rPr>
        <w:t xml:space="preserve"> means a </w:t>
      </w:r>
      <w:r w:rsidRPr="0040482C">
        <w:t>motor vehicle usually used in the ACT and owned by the Commonwealth or a commonwealth authority.</w:t>
      </w:r>
    </w:p>
    <w:p w14:paraId="63A41E92" w14:textId="77777777" w:rsidR="00A835F4" w:rsidRPr="0040482C" w:rsidRDefault="00A835F4" w:rsidP="0040482C">
      <w:pPr>
        <w:pStyle w:val="aDef"/>
        <w:keepNext/>
      </w:pPr>
      <w:r w:rsidRPr="0040482C">
        <w:rPr>
          <w:rStyle w:val="charBoldItals"/>
        </w:rPr>
        <w:t>territory government vehicle</w:t>
      </w:r>
      <w:r w:rsidRPr="0040482C">
        <w:rPr>
          <w:bCs/>
          <w:iCs/>
        </w:rPr>
        <w:t xml:space="preserve"> means a </w:t>
      </w:r>
      <w:r w:rsidRPr="0040482C">
        <w:t>motor vehicle usually used in the ACT and owned by the Territory or a territory authority.</w:t>
      </w:r>
    </w:p>
    <w:p w14:paraId="2A35BDE1" w14:textId="382C78EB" w:rsidR="00A835F4" w:rsidRPr="0040482C" w:rsidRDefault="00A835F4" w:rsidP="00A835F4">
      <w:pPr>
        <w:pStyle w:val="aNote"/>
      </w:pPr>
      <w:r w:rsidRPr="0040482C">
        <w:rPr>
          <w:rStyle w:val="charItals"/>
        </w:rPr>
        <w:t>Note</w:t>
      </w:r>
      <w:r w:rsidRPr="0040482C">
        <w:rPr>
          <w:rStyle w:val="charItals"/>
        </w:rPr>
        <w:tab/>
      </w:r>
      <w:r w:rsidR="00333014" w:rsidRPr="0040482C">
        <w:rPr>
          <w:rStyle w:val="charBoldItals"/>
        </w:rPr>
        <w:t>t</w:t>
      </w:r>
      <w:r w:rsidRPr="0040482C">
        <w:rPr>
          <w:rStyle w:val="charBoldItals"/>
        </w:rPr>
        <w:t>erritory authority</w:t>
      </w:r>
      <w:r w:rsidR="00351E47" w:rsidRPr="0040482C">
        <w:t xml:space="preserve">—see </w:t>
      </w:r>
      <w:r w:rsidRPr="0040482C">
        <w:t xml:space="preserve">the </w:t>
      </w:r>
      <w:hyperlink r:id="rId55" w:tooltip="A2001-14" w:history="1">
        <w:r w:rsidR="001B5459" w:rsidRPr="0040482C">
          <w:rPr>
            <w:rStyle w:val="charCitHyperlinkAbbrev"/>
          </w:rPr>
          <w:t>Legislation Act</w:t>
        </w:r>
      </w:hyperlink>
      <w:r w:rsidRPr="0040482C">
        <w:t>, dictionary, pt</w:t>
      </w:r>
      <w:r w:rsidR="00351E47" w:rsidRPr="0040482C">
        <w:t> </w:t>
      </w:r>
      <w:r w:rsidRPr="0040482C">
        <w:t>1.</w:t>
      </w:r>
    </w:p>
    <w:p w14:paraId="6AC2175C" w14:textId="77777777" w:rsidR="00A835F4" w:rsidRPr="0040482C" w:rsidRDefault="0040482C" w:rsidP="0040482C">
      <w:pPr>
        <w:pStyle w:val="AH5Sec"/>
      </w:pPr>
      <w:bookmarkStart w:id="42" w:name="_Toc153373711"/>
      <w:r w:rsidRPr="009F0332">
        <w:rPr>
          <w:rStyle w:val="CharSectNo"/>
        </w:rPr>
        <w:lastRenderedPageBreak/>
        <w:t>22</w:t>
      </w:r>
      <w:r w:rsidRPr="0040482C">
        <w:tab/>
      </w:r>
      <w:r w:rsidR="00A835F4" w:rsidRPr="0040482C">
        <w:t>Collections for nominal defendant fund—collection notice—Act, s </w:t>
      </w:r>
      <w:r w:rsidR="00D21DE0" w:rsidRPr="0040482C">
        <w:t>331 </w:t>
      </w:r>
      <w:r w:rsidR="00A835F4" w:rsidRPr="0040482C">
        <w:t>(1) (b)</w:t>
      </w:r>
      <w:bookmarkEnd w:id="42"/>
    </w:p>
    <w:p w14:paraId="33070E39" w14:textId="15768F96" w:rsidR="00A835F4" w:rsidRPr="0040482C" w:rsidRDefault="0040482C" w:rsidP="0040482C">
      <w:pPr>
        <w:pStyle w:val="Amain"/>
      </w:pPr>
      <w:r>
        <w:tab/>
      </w:r>
      <w:r w:rsidRPr="0040482C">
        <w:t>(1)</w:t>
      </w:r>
      <w:r w:rsidRPr="0040482C">
        <w:tab/>
      </w:r>
      <w:r w:rsidR="00A835F4" w:rsidRPr="0040482C">
        <w:t xml:space="preserve">The </w:t>
      </w:r>
      <w:r w:rsidR="00351E47" w:rsidRPr="0040482C">
        <w:t>MAI commission</w:t>
      </w:r>
      <w:r w:rsidR="00A835F4" w:rsidRPr="0040482C">
        <w:t xml:space="preserve"> must give written notice (a </w:t>
      </w:r>
      <w:r w:rsidR="00A835F4" w:rsidRPr="0040482C">
        <w:rPr>
          <w:rStyle w:val="charBoldItals"/>
        </w:rPr>
        <w:t>collection notice</w:t>
      </w:r>
      <w:r w:rsidR="00A835F4" w:rsidRPr="0040482C">
        <w:t>) of a decision under</w:t>
      </w:r>
      <w:r w:rsidR="006930F3" w:rsidRPr="0040482C">
        <w:t xml:space="preserve"> the </w:t>
      </w:r>
      <w:hyperlink r:id="rId56" w:tooltip="Motor Accident Injuries Act 2019" w:history="1">
        <w:r w:rsidR="00957B72" w:rsidRPr="0040482C">
          <w:rPr>
            <w:rStyle w:val="charCitHyperlinkAbbrev"/>
          </w:rPr>
          <w:t>Act</w:t>
        </w:r>
      </w:hyperlink>
      <w:r w:rsidR="006930F3" w:rsidRPr="0040482C">
        <w:t>,</w:t>
      </w:r>
      <w:r w:rsidR="00A835F4" w:rsidRPr="0040482C">
        <w:t xml:space="preserve"> section </w:t>
      </w:r>
      <w:r w:rsidR="006930F3" w:rsidRPr="0040482C">
        <w:t>331</w:t>
      </w:r>
      <w:r w:rsidR="00333014" w:rsidRPr="0040482C">
        <w:t> (2)</w:t>
      </w:r>
      <w:r w:rsidR="00A835F4" w:rsidRPr="0040482C">
        <w:t xml:space="preserve"> to each prescribed person.</w:t>
      </w:r>
    </w:p>
    <w:p w14:paraId="30B96677" w14:textId="77777777" w:rsidR="00A835F4" w:rsidRPr="0040482C" w:rsidRDefault="0040482C" w:rsidP="0040482C">
      <w:pPr>
        <w:pStyle w:val="Amain"/>
      </w:pPr>
      <w:r>
        <w:tab/>
      </w:r>
      <w:r w:rsidRPr="0040482C">
        <w:t>(2)</w:t>
      </w:r>
      <w:r w:rsidRPr="0040482C">
        <w:tab/>
      </w:r>
      <w:r w:rsidR="00351E47" w:rsidRPr="0040482C">
        <w:t>The</w:t>
      </w:r>
      <w:r w:rsidR="00A835F4" w:rsidRPr="0040482C">
        <w:t xml:space="preserve"> collection notice must state—</w:t>
      </w:r>
    </w:p>
    <w:p w14:paraId="539CC131" w14:textId="77777777" w:rsidR="00A835F4" w:rsidRPr="0040482C" w:rsidRDefault="0040482C" w:rsidP="0040482C">
      <w:pPr>
        <w:pStyle w:val="Apara"/>
      </w:pPr>
      <w:r>
        <w:tab/>
      </w:r>
      <w:r w:rsidRPr="0040482C">
        <w:t>(a)</w:t>
      </w:r>
      <w:r w:rsidRPr="0040482C">
        <w:tab/>
      </w:r>
      <w:r w:rsidR="00A835F4" w:rsidRPr="0040482C">
        <w:t>the amount payable by the prescribed person; and</w:t>
      </w:r>
    </w:p>
    <w:p w14:paraId="3FAC4619" w14:textId="77777777" w:rsidR="00A835F4" w:rsidRPr="0040482C" w:rsidRDefault="0040482C" w:rsidP="0040482C">
      <w:pPr>
        <w:pStyle w:val="Apara"/>
      </w:pPr>
      <w:r>
        <w:tab/>
      </w:r>
      <w:r w:rsidRPr="0040482C">
        <w:t>(b)</w:t>
      </w:r>
      <w:r w:rsidRPr="0040482C">
        <w:tab/>
      </w:r>
      <w:r w:rsidR="00A835F4" w:rsidRPr="0040482C">
        <w:t xml:space="preserve">that the amount must be paid to the nominal defendant fund not later than a stated date (the </w:t>
      </w:r>
      <w:r w:rsidR="00A835F4" w:rsidRPr="0040482C">
        <w:rPr>
          <w:rStyle w:val="charBoldItals"/>
        </w:rPr>
        <w:t>due date</w:t>
      </w:r>
      <w:r w:rsidR="00A835F4" w:rsidRPr="0040482C">
        <w:t>).</w:t>
      </w:r>
    </w:p>
    <w:p w14:paraId="4F0A09FE" w14:textId="77777777" w:rsidR="00A835F4" w:rsidRPr="0040482C" w:rsidRDefault="0040482C" w:rsidP="0040482C">
      <w:pPr>
        <w:pStyle w:val="Amain"/>
      </w:pPr>
      <w:r>
        <w:tab/>
      </w:r>
      <w:r w:rsidRPr="0040482C">
        <w:t>(3)</w:t>
      </w:r>
      <w:r w:rsidRPr="0040482C">
        <w:tab/>
      </w:r>
      <w:r w:rsidR="00A835F4" w:rsidRPr="0040482C">
        <w:t xml:space="preserve">The </w:t>
      </w:r>
      <w:r w:rsidR="00351E47" w:rsidRPr="0040482C">
        <w:t>MAI commission</w:t>
      </w:r>
      <w:r w:rsidR="00A835F4" w:rsidRPr="0040482C">
        <w:t xml:space="preserve"> may amend or revoke a prescribed person’s collection notice by giving written notice to the prescribed person before the due date.</w:t>
      </w:r>
    </w:p>
    <w:p w14:paraId="4F2E381A" w14:textId="77777777" w:rsidR="00A835F4" w:rsidRPr="0040482C" w:rsidRDefault="0040482C" w:rsidP="0040482C">
      <w:pPr>
        <w:pStyle w:val="Amain"/>
      </w:pPr>
      <w:r>
        <w:tab/>
      </w:r>
      <w:r w:rsidRPr="0040482C">
        <w:t>(4)</w:t>
      </w:r>
      <w:r w:rsidRPr="0040482C">
        <w:tab/>
      </w:r>
      <w:r w:rsidR="00A835F4" w:rsidRPr="0040482C">
        <w:t>The due date for a prescribed person’s collection notice, or an amended collection notice</w:t>
      </w:r>
      <w:r w:rsidR="003F325F" w:rsidRPr="0040482C">
        <w:t>,</w:t>
      </w:r>
      <w:r w:rsidR="00A835F4" w:rsidRPr="0040482C">
        <w:t xml:space="preserve"> must be at least 42 days after the day the collection notice is given to the prescribed person.</w:t>
      </w:r>
    </w:p>
    <w:p w14:paraId="3B2B2DB0" w14:textId="77777777" w:rsidR="00A835F4" w:rsidRPr="0040482C" w:rsidRDefault="0040482C" w:rsidP="0040482C">
      <w:pPr>
        <w:pStyle w:val="AH5Sec"/>
      </w:pPr>
      <w:bookmarkStart w:id="43" w:name="_Toc153373712"/>
      <w:r w:rsidRPr="009F0332">
        <w:rPr>
          <w:rStyle w:val="CharSectNo"/>
        </w:rPr>
        <w:t>23</w:t>
      </w:r>
      <w:r w:rsidRPr="0040482C">
        <w:tab/>
      </w:r>
      <w:r w:rsidR="00A835F4" w:rsidRPr="0040482C">
        <w:t>Offence—failure to pay contribution—Act, s </w:t>
      </w:r>
      <w:r w:rsidR="00D21DE0" w:rsidRPr="0040482C">
        <w:t>331 </w:t>
      </w:r>
      <w:r w:rsidR="00A835F4" w:rsidRPr="0040482C">
        <w:t>(1) (b)</w:t>
      </w:r>
      <w:bookmarkEnd w:id="43"/>
    </w:p>
    <w:p w14:paraId="02849687" w14:textId="77777777" w:rsidR="00A835F4" w:rsidRPr="0040482C" w:rsidRDefault="0040482C" w:rsidP="0040482C">
      <w:pPr>
        <w:pStyle w:val="Amain"/>
      </w:pPr>
      <w:r>
        <w:tab/>
      </w:r>
      <w:r w:rsidRPr="0040482C">
        <w:t>(1)</w:t>
      </w:r>
      <w:r w:rsidRPr="0040482C">
        <w:tab/>
      </w:r>
      <w:r w:rsidR="00A835F4" w:rsidRPr="0040482C">
        <w:t>A licensed insurer commits an offence if—</w:t>
      </w:r>
    </w:p>
    <w:p w14:paraId="338F6780" w14:textId="77777777" w:rsidR="00A835F4" w:rsidRPr="0040482C" w:rsidRDefault="0040482C" w:rsidP="0040482C">
      <w:pPr>
        <w:pStyle w:val="Apara"/>
      </w:pPr>
      <w:r>
        <w:tab/>
      </w:r>
      <w:r w:rsidRPr="0040482C">
        <w:t>(a)</w:t>
      </w:r>
      <w:r w:rsidRPr="0040482C">
        <w:tab/>
      </w:r>
      <w:r w:rsidR="00A835F4" w:rsidRPr="0040482C">
        <w:t>a collection notice is in force for the licensed insurer; and</w:t>
      </w:r>
    </w:p>
    <w:p w14:paraId="1F8264A8" w14:textId="77777777" w:rsidR="00A835F4" w:rsidRPr="0040482C" w:rsidRDefault="0040482C" w:rsidP="0040482C">
      <w:pPr>
        <w:pStyle w:val="Apara"/>
        <w:keepNext/>
      </w:pPr>
      <w:r>
        <w:tab/>
      </w:r>
      <w:r w:rsidRPr="0040482C">
        <w:t>(b)</w:t>
      </w:r>
      <w:r w:rsidRPr="0040482C">
        <w:tab/>
      </w:r>
      <w:r w:rsidR="00A835F4" w:rsidRPr="0040482C">
        <w:t xml:space="preserve">the licensed insurer does not pay the amount stated in the notice to the nominal defendant fund on or before the due date </w:t>
      </w:r>
      <w:r w:rsidR="006B59DD" w:rsidRPr="0040482C">
        <w:t>stated in</w:t>
      </w:r>
      <w:r w:rsidR="00A835F4" w:rsidRPr="0040482C">
        <w:t xml:space="preserve"> the collection notice.</w:t>
      </w:r>
    </w:p>
    <w:p w14:paraId="685C52A0" w14:textId="77777777" w:rsidR="00A835F4" w:rsidRPr="0040482C" w:rsidRDefault="00A835F4" w:rsidP="00A835F4">
      <w:pPr>
        <w:pStyle w:val="Penalty"/>
        <w:keepNext/>
      </w:pPr>
      <w:r w:rsidRPr="0040482C">
        <w:t>Maximum penalty:  20 penalty units.</w:t>
      </w:r>
    </w:p>
    <w:p w14:paraId="58FB2FC4" w14:textId="090B4F30" w:rsidR="00454168" w:rsidRPr="0066333B" w:rsidRDefault="00454168" w:rsidP="00454168">
      <w:pPr>
        <w:pStyle w:val="Amain"/>
      </w:pPr>
      <w:r w:rsidRPr="0066333B">
        <w:tab/>
        <w:t>(</w:t>
      </w:r>
      <w:r>
        <w:t>2</w:t>
      </w:r>
      <w:r w:rsidRPr="0066333B">
        <w:t>)</w:t>
      </w:r>
      <w:r w:rsidRPr="0066333B">
        <w:tab/>
        <w:t>An offence against this section is a strict liability offence.</w:t>
      </w:r>
    </w:p>
    <w:p w14:paraId="38DABCE9" w14:textId="6DF0F0D8" w:rsidR="00A835F4" w:rsidRPr="0040482C" w:rsidRDefault="0040482C" w:rsidP="0040482C">
      <w:pPr>
        <w:pStyle w:val="Amain"/>
      </w:pPr>
      <w:r>
        <w:tab/>
      </w:r>
      <w:r w:rsidRPr="0040482C">
        <w:t>(</w:t>
      </w:r>
      <w:r w:rsidR="00454168">
        <w:t>3</w:t>
      </w:r>
      <w:r w:rsidRPr="0040482C">
        <w:t>)</w:t>
      </w:r>
      <w:r w:rsidRPr="0040482C">
        <w:tab/>
      </w:r>
      <w:r w:rsidR="00A835F4" w:rsidRPr="0040482C">
        <w:t>If the Magistrates Court convicts a licensed insurer, or finds a licensed insurer guilty, of an offence against this section, the court may order the insurer to pay any unpaid amount to the nominal defendant fund.</w:t>
      </w:r>
    </w:p>
    <w:p w14:paraId="3A8E08FE" w14:textId="5488A02B" w:rsidR="00A835F4" w:rsidRPr="0040482C" w:rsidRDefault="0040482C" w:rsidP="0040482C">
      <w:pPr>
        <w:pStyle w:val="Amain"/>
      </w:pPr>
      <w:r>
        <w:tab/>
      </w:r>
      <w:r w:rsidRPr="0040482C">
        <w:t>(</w:t>
      </w:r>
      <w:r w:rsidR="00454168">
        <w:t>4</w:t>
      </w:r>
      <w:r w:rsidRPr="0040482C">
        <w:t>)</w:t>
      </w:r>
      <w:r w:rsidRPr="0040482C">
        <w:tab/>
      </w:r>
      <w:r w:rsidR="00A835F4" w:rsidRPr="0040482C">
        <w:t>An order under subsection (</w:t>
      </w:r>
      <w:r w:rsidR="00454168">
        <w:t>3</w:t>
      </w:r>
      <w:r w:rsidR="00A835F4" w:rsidRPr="0040482C">
        <w:t>) is in addition to a penalty imposed for the offence.</w:t>
      </w:r>
    </w:p>
    <w:p w14:paraId="75FBC3A6" w14:textId="4DECECF0" w:rsidR="00A835F4" w:rsidRPr="0040482C" w:rsidRDefault="0040482C" w:rsidP="0040482C">
      <w:pPr>
        <w:pStyle w:val="Amain"/>
      </w:pPr>
      <w:r>
        <w:lastRenderedPageBreak/>
        <w:tab/>
      </w:r>
      <w:r w:rsidRPr="0040482C">
        <w:t>(</w:t>
      </w:r>
      <w:r w:rsidR="00454168">
        <w:t>5</w:t>
      </w:r>
      <w:r w:rsidRPr="0040482C">
        <w:t>)</w:t>
      </w:r>
      <w:r w:rsidRPr="0040482C">
        <w:tab/>
      </w:r>
      <w:r w:rsidR="00A835F4" w:rsidRPr="0040482C">
        <w:t>For the enforcement of payment of the order and the calculation of interest in relation to a judgment, the order is taken to be a final judgment of the Magistrates Court for the amount stated in the order.</w:t>
      </w:r>
    </w:p>
    <w:p w14:paraId="568DAD2A" w14:textId="77777777" w:rsidR="00573DAF" w:rsidRPr="0040482C" w:rsidRDefault="00573DAF" w:rsidP="00573DAF">
      <w:pPr>
        <w:pStyle w:val="PageBreak"/>
      </w:pPr>
      <w:r w:rsidRPr="0040482C">
        <w:br w:type="page"/>
      </w:r>
    </w:p>
    <w:p w14:paraId="143919D3" w14:textId="77777777" w:rsidR="00A835F4" w:rsidRPr="009F0332" w:rsidRDefault="0040482C" w:rsidP="0040482C">
      <w:pPr>
        <w:pStyle w:val="AH2Part"/>
      </w:pPr>
      <w:bookmarkStart w:id="44" w:name="_Toc153373713"/>
      <w:r w:rsidRPr="009F0332">
        <w:rPr>
          <w:rStyle w:val="CharPartNo"/>
        </w:rPr>
        <w:lastRenderedPageBreak/>
        <w:t>Part 6</w:t>
      </w:r>
      <w:r w:rsidRPr="0040482C">
        <w:tab/>
      </w:r>
      <w:r w:rsidR="00573DAF" w:rsidRPr="009F0332">
        <w:rPr>
          <w:rStyle w:val="CharPartText"/>
        </w:rPr>
        <w:t>MAI insurer licences</w:t>
      </w:r>
      <w:bookmarkEnd w:id="44"/>
    </w:p>
    <w:p w14:paraId="6DA066E7" w14:textId="77777777" w:rsidR="002E68F4" w:rsidRPr="0040482C" w:rsidRDefault="002E68F4" w:rsidP="001D1D51">
      <w:pPr>
        <w:pStyle w:val="Placeholder"/>
        <w:suppressLineNumbers/>
      </w:pPr>
      <w:r w:rsidRPr="0040482C">
        <w:rPr>
          <w:rStyle w:val="CharDivNo"/>
        </w:rPr>
        <w:t xml:space="preserve">  </w:t>
      </w:r>
      <w:r w:rsidRPr="0040482C">
        <w:rPr>
          <w:rStyle w:val="CharDivText"/>
        </w:rPr>
        <w:t xml:space="preserve">  </w:t>
      </w:r>
    </w:p>
    <w:p w14:paraId="3D988F0C" w14:textId="77777777" w:rsidR="00573DAF" w:rsidRPr="0040482C" w:rsidRDefault="0040482C" w:rsidP="0040482C">
      <w:pPr>
        <w:pStyle w:val="AH5Sec"/>
      </w:pPr>
      <w:bookmarkStart w:id="45" w:name="_Toc153373714"/>
      <w:r w:rsidRPr="009F0332">
        <w:rPr>
          <w:rStyle w:val="CharSectNo"/>
        </w:rPr>
        <w:t>24</w:t>
      </w:r>
      <w:r w:rsidRPr="0040482C">
        <w:tab/>
      </w:r>
      <w:r w:rsidR="00573DAF" w:rsidRPr="0040482C">
        <w:t>What must be included in an insurance industry deed—Act,</w:t>
      </w:r>
      <w:r w:rsidR="00517612" w:rsidRPr="0040482C">
        <w:t> </w:t>
      </w:r>
      <w:r w:rsidR="00573DAF" w:rsidRPr="0040482C">
        <w:t>s</w:t>
      </w:r>
      <w:r w:rsidR="00517612" w:rsidRPr="0040482C">
        <w:t> </w:t>
      </w:r>
      <w:r w:rsidR="00D21DE0" w:rsidRPr="0040482C">
        <w:t>360</w:t>
      </w:r>
      <w:r w:rsidR="00282E88" w:rsidRPr="0040482C">
        <w:t> (2)</w:t>
      </w:r>
      <w:bookmarkEnd w:id="45"/>
    </w:p>
    <w:p w14:paraId="20B4A530" w14:textId="77777777" w:rsidR="00573DAF" w:rsidRPr="0040482C" w:rsidRDefault="0040482C" w:rsidP="0040482C">
      <w:pPr>
        <w:pStyle w:val="Amain"/>
      </w:pPr>
      <w:r>
        <w:tab/>
      </w:r>
      <w:r w:rsidRPr="0040482C">
        <w:t>(1)</w:t>
      </w:r>
      <w:r w:rsidRPr="0040482C">
        <w:tab/>
      </w:r>
      <w:r w:rsidR="00573DAF" w:rsidRPr="0040482C">
        <w:t xml:space="preserve">The </w:t>
      </w:r>
      <w:r w:rsidR="00454062" w:rsidRPr="0040482C">
        <w:t>MAI commission must approve the required content for the insurance industry deed.</w:t>
      </w:r>
    </w:p>
    <w:p w14:paraId="4D31F682" w14:textId="77777777" w:rsidR="00573DAF" w:rsidRPr="0040482C" w:rsidRDefault="0040482C" w:rsidP="0040482C">
      <w:pPr>
        <w:pStyle w:val="Amain"/>
        <w:keepNext/>
      </w:pPr>
      <w:r>
        <w:tab/>
      </w:r>
      <w:r w:rsidRPr="0040482C">
        <w:t>(2)</w:t>
      </w:r>
      <w:r w:rsidRPr="0040482C">
        <w:tab/>
      </w:r>
      <w:r w:rsidR="00573DAF" w:rsidRPr="0040482C">
        <w:t>An approval is a disallowable instrument.</w:t>
      </w:r>
    </w:p>
    <w:p w14:paraId="10CAAB6D" w14:textId="42AC97A1" w:rsidR="00573DAF" w:rsidRPr="0040482C" w:rsidRDefault="00573DAF" w:rsidP="00573DAF">
      <w:pPr>
        <w:pStyle w:val="aNote"/>
      </w:pPr>
      <w:r w:rsidRPr="0040482C">
        <w:rPr>
          <w:i/>
        </w:rPr>
        <w:t>Note</w:t>
      </w:r>
      <w:r w:rsidRPr="0040482C">
        <w:rPr>
          <w:i/>
        </w:rPr>
        <w:tab/>
      </w:r>
      <w:r w:rsidRPr="0040482C">
        <w:t xml:space="preserve">A disallowable instrument must be notified, and presented to the Legislative Assembly, under the </w:t>
      </w:r>
      <w:hyperlink r:id="rId57" w:tooltip="A2001-14" w:history="1">
        <w:r w:rsidR="001B5459" w:rsidRPr="0040482C">
          <w:rPr>
            <w:rStyle w:val="charCitHyperlinkAbbrev"/>
          </w:rPr>
          <w:t>Legislation Act</w:t>
        </w:r>
      </w:hyperlink>
      <w:r w:rsidRPr="0040482C">
        <w:t>.</w:t>
      </w:r>
    </w:p>
    <w:p w14:paraId="4A1F320A" w14:textId="77777777" w:rsidR="00573DAF" w:rsidRPr="0040482C" w:rsidRDefault="0040482C" w:rsidP="0040482C">
      <w:pPr>
        <w:pStyle w:val="Amain"/>
      </w:pPr>
      <w:r>
        <w:tab/>
      </w:r>
      <w:r w:rsidRPr="0040482C">
        <w:t>(3)</w:t>
      </w:r>
      <w:r w:rsidRPr="0040482C">
        <w:tab/>
      </w:r>
      <w:r w:rsidR="00573DAF" w:rsidRPr="0040482C">
        <w:t>The insurance industry deed must be substantially in accordance with the content approved under this section.</w:t>
      </w:r>
    </w:p>
    <w:p w14:paraId="29CF8160" w14:textId="77777777" w:rsidR="00573DAF" w:rsidRPr="0040482C" w:rsidRDefault="0040482C" w:rsidP="0040482C">
      <w:pPr>
        <w:pStyle w:val="AH5Sec"/>
      </w:pPr>
      <w:bookmarkStart w:id="46" w:name="_Toc153373715"/>
      <w:r w:rsidRPr="009F0332">
        <w:rPr>
          <w:rStyle w:val="CharSectNo"/>
        </w:rPr>
        <w:t>25</w:t>
      </w:r>
      <w:r w:rsidRPr="0040482C">
        <w:tab/>
      </w:r>
      <w:r w:rsidR="00517612" w:rsidRPr="0040482C">
        <w:t>App</w:t>
      </w:r>
      <w:r w:rsidR="00387D75" w:rsidRPr="0040482C">
        <w:t>lication requirements—Act, s </w:t>
      </w:r>
      <w:r w:rsidR="00D21DE0" w:rsidRPr="0040482C">
        <w:t>362</w:t>
      </w:r>
      <w:r w:rsidR="00517612" w:rsidRPr="0040482C">
        <w:t> (2)</w:t>
      </w:r>
      <w:bookmarkEnd w:id="46"/>
    </w:p>
    <w:p w14:paraId="18A30E41" w14:textId="77777777" w:rsidR="00517612" w:rsidRPr="0040482C" w:rsidRDefault="00517612" w:rsidP="00517612">
      <w:pPr>
        <w:pStyle w:val="Amainreturn"/>
      </w:pPr>
      <w:r w:rsidRPr="0040482C">
        <w:t>An application for an MAI insurer licence must—</w:t>
      </w:r>
    </w:p>
    <w:p w14:paraId="426686F0" w14:textId="77777777" w:rsidR="00517612" w:rsidRPr="0040482C" w:rsidRDefault="0040482C" w:rsidP="0040482C">
      <w:pPr>
        <w:pStyle w:val="Apara"/>
      </w:pPr>
      <w:r>
        <w:tab/>
      </w:r>
      <w:r w:rsidRPr="0040482C">
        <w:t>(a)</w:t>
      </w:r>
      <w:r w:rsidRPr="0040482C">
        <w:tab/>
      </w:r>
      <w:r w:rsidR="00517612" w:rsidRPr="0040482C">
        <w:t>include the following information:</w:t>
      </w:r>
    </w:p>
    <w:p w14:paraId="72538F49" w14:textId="77777777" w:rsidR="00922456" w:rsidRPr="0040482C" w:rsidRDefault="0040482C" w:rsidP="0040482C">
      <w:pPr>
        <w:pStyle w:val="Asubpara"/>
      </w:pPr>
      <w:r>
        <w:tab/>
      </w:r>
      <w:r w:rsidRPr="0040482C">
        <w:t>(i)</w:t>
      </w:r>
      <w:r w:rsidRPr="0040482C">
        <w:tab/>
      </w:r>
      <w:r w:rsidR="00922456" w:rsidRPr="0040482C">
        <w:t>the applicant’s trading name;</w:t>
      </w:r>
    </w:p>
    <w:p w14:paraId="0AACC528" w14:textId="77777777" w:rsidR="00517612" w:rsidRPr="0040482C" w:rsidRDefault="0040482C" w:rsidP="0040482C">
      <w:pPr>
        <w:pStyle w:val="Asubpara"/>
      </w:pPr>
      <w:r>
        <w:tab/>
      </w:r>
      <w:r w:rsidRPr="0040482C">
        <w:t>(ii)</w:t>
      </w:r>
      <w:r w:rsidRPr="0040482C">
        <w:tab/>
      </w:r>
      <w:r w:rsidR="00517612" w:rsidRPr="0040482C">
        <w:t xml:space="preserve">the address of the applicant’s registered office; </w:t>
      </w:r>
    </w:p>
    <w:p w14:paraId="211436B9" w14:textId="77777777" w:rsidR="00517612" w:rsidRPr="0040482C" w:rsidRDefault="0040482C" w:rsidP="0040482C">
      <w:pPr>
        <w:pStyle w:val="Asubpara"/>
      </w:pPr>
      <w:r>
        <w:tab/>
      </w:r>
      <w:r w:rsidRPr="0040482C">
        <w:t>(iii)</w:t>
      </w:r>
      <w:r w:rsidRPr="0040482C">
        <w:tab/>
      </w:r>
      <w:r w:rsidR="00517612" w:rsidRPr="0040482C">
        <w:t>the applicant’s ABN;</w:t>
      </w:r>
    </w:p>
    <w:p w14:paraId="1F840A9C" w14:textId="77777777" w:rsidR="00517612" w:rsidRPr="0040482C" w:rsidRDefault="0040482C" w:rsidP="0040482C">
      <w:pPr>
        <w:pStyle w:val="Asubpara"/>
      </w:pPr>
      <w:r>
        <w:tab/>
      </w:r>
      <w:r w:rsidRPr="0040482C">
        <w:t>(iv)</w:t>
      </w:r>
      <w:r w:rsidRPr="0040482C">
        <w:tab/>
      </w:r>
      <w:r w:rsidR="00922456" w:rsidRPr="0040482C">
        <w:t>details of reinsurance arrangements proposed to be made for reinsurance for MAI policies to be issued by the applicant; and</w:t>
      </w:r>
    </w:p>
    <w:p w14:paraId="2797CD61" w14:textId="77777777" w:rsidR="00517612" w:rsidRPr="0040482C" w:rsidRDefault="0040482C" w:rsidP="0040482C">
      <w:pPr>
        <w:pStyle w:val="Apara"/>
      </w:pPr>
      <w:r>
        <w:tab/>
      </w:r>
      <w:r w:rsidRPr="0040482C">
        <w:t>(b)</w:t>
      </w:r>
      <w:r w:rsidRPr="0040482C">
        <w:tab/>
      </w:r>
      <w:r w:rsidR="00517612" w:rsidRPr="0040482C">
        <w:t>be accompanied by the following:</w:t>
      </w:r>
    </w:p>
    <w:p w14:paraId="05AEB964" w14:textId="600CB265" w:rsidR="00517612" w:rsidRPr="0040482C" w:rsidRDefault="0040482C" w:rsidP="0040482C">
      <w:pPr>
        <w:pStyle w:val="Asubpara"/>
      </w:pPr>
      <w:r>
        <w:tab/>
      </w:r>
      <w:r w:rsidRPr="0040482C">
        <w:t>(i)</w:t>
      </w:r>
      <w:r w:rsidRPr="0040482C">
        <w:tab/>
      </w:r>
      <w:r w:rsidR="00517612" w:rsidRPr="0040482C">
        <w:t xml:space="preserve">a copy of the applicant’s authority to carry on an insurance business under the </w:t>
      </w:r>
      <w:hyperlink r:id="rId58" w:tooltip="Act 1973 No 76 (Cwlth)" w:history="1">
        <w:r w:rsidR="006D48C8" w:rsidRPr="0040482C">
          <w:rPr>
            <w:rStyle w:val="charCitHyperlinkItal"/>
          </w:rPr>
          <w:t>Insurance Act 1973</w:t>
        </w:r>
      </w:hyperlink>
      <w:r w:rsidR="00517612" w:rsidRPr="0040482C">
        <w:t xml:space="preserve"> (Cwlth); </w:t>
      </w:r>
    </w:p>
    <w:p w14:paraId="1B0AD8D1" w14:textId="77777777" w:rsidR="00517612" w:rsidRPr="0040482C" w:rsidRDefault="0040482C" w:rsidP="0040482C">
      <w:pPr>
        <w:pStyle w:val="Asubpara"/>
      </w:pPr>
      <w:r>
        <w:tab/>
      </w:r>
      <w:r w:rsidRPr="0040482C">
        <w:t>(ii)</w:t>
      </w:r>
      <w:r w:rsidRPr="0040482C">
        <w:tab/>
      </w:r>
      <w:r w:rsidR="00517612" w:rsidRPr="0040482C">
        <w:t xml:space="preserve">if the </w:t>
      </w:r>
      <w:r w:rsidR="004D729B" w:rsidRPr="0040482C">
        <w:t>applicant</w:t>
      </w:r>
      <w:r w:rsidR="00517612" w:rsidRPr="0040482C">
        <w:t xml:space="preserve"> is licensed to carry on business as a CTP insurer in another Australian jurisdiction—a copy of the licen</w:t>
      </w:r>
      <w:r w:rsidR="00DD3672" w:rsidRPr="0040482C">
        <w:t>c</w:t>
      </w:r>
      <w:r w:rsidR="00517612" w:rsidRPr="0040482C">
        <w:t xml:space="preserve">e from the other jurisdiction; </w:t>
      </w:r>
    </w:p>
    <w:p w14:paraId="0A2C9934" w14:textId="77777777" w:rsidR="00517612" w:rsidRPr="0040482C" w:rsidRDefault="0040482C" w:rsidP="0040482C">
      <w:pPr>
        <w:pStyle w:val="Asubpara"/>
      </w:pPr>
      <w:r>
        <w:lastRenderedPageBreak/>
        <w:tab/>
      </w:r>
      <w:r w:rsidRPr="0040482C">
        <w:t>(iii)</w:t>
      </w:r>
      <w:r w:rsidRPr="0040482C">
        <w:tab/>
      </w:r>
      <w:r w:rsidR="00517612" w:rsidRPr="0040482C">
        <w:t xml:space="preserve">if the </w:t>
      </w:r>
      <w:r w:rsidR="004D729B" w:rsidRPr="0040482C">
        <w:t>applicant</w:t>
      </w:r>
      <w:r w:rsidR="00517612" w:rsidRPr="0040482C">
        <w:t xml:space="preserve"> is not licensed to carry on business as a CTP insurer in another Australian jurisdiction—</w:t>
      </w:r>
    </w:p>
    <w:p w14:paraId="6BFE1A1C" w14:textId="35E420BF" w:rsidR="00517612" w:rsidRPr="0040482C" w:rsidRDefault="0040482C" w:rsidP="0040482C">
      <w:pPr>
        <w:pStyle w:val="Asubsubpara"/>
      </w:pPr>
      <w:r>
        <w:tab/>
      </w:r>
      <w:r w:rsidRPr="0040482C">
        <w:t>(A)</w:t>
      </w:r>
      <w:r w:rsidRPr="0040482C">
        <w:tab/>
      </w:r>
      <w:r w:rsidR="00517612" w:rsidRPr="0040482C">
        <w:t xml:space="preserve">a copy of all documents given to </w:t>
      </w:r>
      <w:r w:rsidR="004D729B" w:rsidRPr="0040482C">
        <w:t>APRA</w:t>
      </w:r>
      <w:r w:rsidR="00517612" w:rsidRPr="0040482C">
        <w:t xml:space="preserve"> in applying for authority to carry on an insurance business under the </w:t>
      </w:r>
      <w:hyperlink r:id="rId59" w:tooltip="Act 1973 No 76 (Cwlth)" w:history="1">
        <w:r w:rsidR="006D48C8" w:rsidRPr="0040482C">
          <w:rPr>
            <w:rStyle w:val="charCitHyperlinkItal"/>
          </w:rPr>
          <w:t>Insurance Act 1973</w:t>
        </w:r>
      </w:hyperlink>
      <w:r w:rsidR="00517612" w:rsidRPr="0040482C">
        <w:t> (Cwlth); and</w:t>
      </w:r>
    </w:p>
    <w:p w14:paraId="0E3C832F" w14:textId="77777777" w:rsidR="00517612" w:rsidRPr="0040482C" w:rsidRDefault="0040482C" w:rsidP="0040482C">
      <w:pPr>
        <w:pStyle w:val="Asubsubpara"/>
      </w:pPr>
      <w:r>
        <w:tab/>
      </w:r>
      <w:r w:rsidRPr="0040482C">
        <w:t>(B)</w:t>
      </w:r>
      <w:r w:rsidRPr="0040482C">
        <w:tab/>
      </w:r>
      <w:r w:rsidR="00517612" w:rsidRPr="0040482C">
        <w:t xml:space="preserve">a copy of the </w:t>
      </w:r>
      <w:r w:rsidR="004D729B" w:rsidRPr="0040482C">
        <w:t xml:space="preserve">applicant’s </w:t>
      </w:r>
      <w:r w:rsidR="00517612" w:rsidRPr="0040482C">
        <w:t xml:space="preserve">latest </w:t>
      </w:r>
      <w:r w:rsidR="004D729B" w:rsidRPr="0040482C">
        <w:t xml:space="preserve">annual financial accounts and </w:t>
      </w:r>
      <w:r w:rsidR="00517612" w:rsidRPr="0040482C">
        <w:t xml:space="preserve">annual </w:t>
      </w:r>
      <w:r w:rsidR="004D729B" w:rsidRPr="0040482C">
        <w:t>statement</w:t>
      </w:r>
      <w:r w:rsidR="00517612" w:rsidRPr="0040482C">
        <w:t xml:space="preserve"> </w:t>
      </w:r>
      <w:r w:rsidR="004D729B" w:rsidRPr="0040482C">
        <w:t>lodged with ASIC</w:t>
      </w:r>
      <w:r w:rsidR="00922456" w:rsidRPr="0040482C">
        <w:t>;</w:t>
      </w:r>
      <w:r w:rsidR="00333014" w:rsidRPr="0040482C">
        <w:t xml:space="preserve"> and</w:t>
      </w:r>
    </w:p>
    <w:p w14:paraId="428161D7" w14:textId="77777777" w:rsidR="004D729B" w:rsidRDefault="0040482C" w:rsidP="0040482C">
      <w:pPr>
        <w:pStyle w:val="Asubsubpara"/>
      </w:pPr>
      <w:r>
        <w:tab/>
      </w:r>
      <w:r w:rsidRPr="0040482C">
        <w:t>(C)</w:t>
      </w:r>
      <w:r w:rsidRPr="0040482C">
        <w:tab/>
      </w:r>
      <w:r w:rsidR="004D729B" w:rsidRPr="0040482C">
        <w:t xml:space="preserve">a copy of all reports and returns lodged with APRA under reporting and prudential standards applying to the applicant’s general insurance business in relation to the 12 months </w:t>
      </w:r>
      <w:r w:rsidR="0012099E" w:rsidRPr="0040482C">
        <w:t xml:space="preserve">before </w:t>
      </w:r>
      <w:r w:rsidR="004D729B" w:rsidRPr="0040482C">
        <w:t xml:space="preserve">the date </w:t>
      </w:r>
      <w:r w:rsidR="0012099E" w:rsidRPr="0040482C">
        <w:t xml:space="preserve">of </w:t>
      </w:r>
      <w:r w:rsidR="00E06201" w:rsidRPr="0040482C">
        <w:t>the application.</w:t>
      </w:r>
    </w:p>
    <w:p w14:paraId="1578B7E3" w14:textId="77777777" w:rsidR="006065F2" w:rsidRPr="00F64DAB" w:rsidRDefault="006065F2" w:rsidP="006065F2">
      <w:pPr>
        <w:pStyle w:val="AH5Sec"/>
      </w:pPr>
      <w:bookmarkStart w:id="47" w:name="_Toc153373716"/>
      <w:r w:rsidRPr="009F0332">
        <w:rPr>
          <w:rStyle w:val="CharSectNo"/>
        </w:rPr>
        <w:t>26</w:t>
      </w:r>
      <w:r w:rsidRPr="00F64DAB">
        <w:tab/>
        <w:t>Financial penalties—matters that must be considered—Act, s 394D (1) (c)</w:t>
      </w:r>
      <w:bookmarkEnd w:id="47"/>
    </w:p>
    <w:p w14:paraId="5333338A" w14:textId="77777777" w:rsidR="006065F2" w:rsidRPr="00F64DAB" w:rsidRDefault="006065F2" w:rsidP="006065F2">
      <w:pPr>
        <w:pStyle w:val="Amain"/>
      </w:pPr>
      <w:r w:rsidRPr="00F64DAB">
        <w:tab/>
        <w:t>(1)</w:t>
      </w:r>
      <w:r w:rsidRPr="00F64DAB">
        <w:tab/>
        <w:t>The MAI commission must consider the following matters before deciding to impose a financial penalty on a licensed insurer in relation to conduct of the insurer that constitutes a ground for financial penalty:</w:t>
      </w:r>
    </w:p>
    <w:p w14:paraId="6E4D182F" w14:textId="77777777" w:rsidR="006065F2" w:rsidRPr="00F64DAB" w:rsidRDefault="006065F2" w:rsidP="006065F2">
      <w:pPr>
        <w:pStyle w:val="Apara"/>
      </w:pPr>
      <w:r w:rsidRPr="00F64DAB">
        <w:tab/>
        <w:t>(a)</w:t>
      </w:r>
      <w:r w:rsidRPr="00F64DAB">
        <w:tab/>
        <w:t>any adverse effect, or likely adverse effect, of the conduct on the insurer’s payment of any amount to which a person is entitled, including the payment of defined benefits or an award of damages to a person in a proceeding related to a motor accident claim;</w:t>
      </w:r>
    </w:p>
    <w:p w14:paraId="1EA5C839" w14:textId="77777777" w:rsidR="006065F2" w:rsidRPr="007C025E" w:rsidRDefault="006065F2" w:rsidP="006065F2">
      <w:pPr>
        <w:pStyle w:val="Apara"/>
      </w:pPr>
      <w:r w:rsidRPr="00F64DAB">
        <w:tab/>
      </w:r>
      <w:r w:rsidRPr="007C025E">
        <w:t>(b)</w:t>
      </w:r>
      <w:r w:rsidRPr="007C025E">
        <w:tab/>
        <w:t>any adverse effect, or likely adverse effect, of the conduct on a person’s recovery from a personal injury sustained as a result of a motor accident;</w:t>
      </w:r>
    </w:p>
    <w:p w14:paraId="58FF0401" w14:textId="77777777" w:rsidR="006065F2" w:rsidRPr="007C025E" w:rsidRDefault="006065F2" w:rsidP="006065F2">
      <w:pPr>
        <w:pStyle w:val="Apara"/>
      </w:pPr>
      <w:r w:rsidRPr="007C025E">
        <w:tab/>
        <w:t>(c)</w:t>
      </w:r>
      <w:r w:rsidRPr="007C025E">
        <w:tab/>
        <w:t>whether the insurer reported the conduct to the MAI commission;</w:t>
      </w:r>
    </w:p>
    <w:p w14:paraId="4A497746" w14:textId="77777777" w:rsidR="006065F2" w:rsidRPr="007C025E" w:rsidRDefault="006065F2" w:rsidP="006065F2">
      <w:pPr>
        <w:pStyle w:val="Apara"/>
      </w:pPr>
      <w:r w:rsidRPr="007C025E">
        <w:tab/>
        <w:t>(d)</w:t>
      </w:r>
      <w:r w:rsidRPr="007C025E">
        <w:tab/>
        <w:t>any action taken by the insurer to—</w:t>
      </w:r>
    </w:p>
    <w:p w14:paraId="7F719B42" w14:textId="77777777" w:rsidR="006065F2" w:rsidRPr="007C025E" w:rsidRDefault="006065F2" w:rsidP="006065F2">
      <w:pPr>
        <w:pStyle w:val="Asubpara"/>
      </w:pPr>
      <w:r w:rsidRPr="007C025E">
        <w:tab/>
        <w:t>(i)</w:t>
      </w:r>
      <w:r w:rsidRPr="007C025E">
        <w:tab/>
        <w:t>investigate the nature and extent of the conduct; and</w:t>
      </w:r>
    </w:p>
    <w:p w14:paraId="445E2338" w14:textId="77777777" w:rsidR="006065F2" w:rsidRPr="007C025E" w:rsidRDefault="006065F2" w:rsidP="006065F2">
      <w:pPr>
        <w:pStyle w:val="Asubpara"/>
      </w:pPr>
      <w:r w:rsidRPr="007C025E">
        <w:lastRenderedPageBreak/>
        <w:tab/>
        <w:t>(ii)</w:t>
      </w:r>
      <w:r w:rsidRPr="007C025E">
        <w:tab/>
        <w:t>remediate the conduct; and</w:t>
      </w:r>
    </w:p>
    <w:p w14:paraId="6A79F914" w14:textId="77777777" w:rsidR="006065F2" w:rsidRDefault="006065F2" w:rsidP="006065F2">
      <w:pPr>
        <w:pStyle w:val="Asubpara"/>
      </w:pPr>
      <w:r w:rsidRPr="007C025E">
        <w:tab/>
        <w:t>(iii)</w:t>
      </w:r>
      <w:r w:rsidRPr="007C025E">
        <w:tab/>
        <w:t>remove or mitigate the risk of similar conduct happening;</w:t>
      </w:r>
    </w:p>
    <w:p w14:paraId="64555705" w14:textId="77777777" w:rsidR="006065F2" w:rsidRPr="00F64DAB" w:rsidRDefault="006065F2" w:rsidP="006065F2">
      <w:pPr>
        <w:pStyle w:val="Apara"/>
      </w:pPr>
      <w:r w:rsidRPr="00F64DAB">
        <w:tab/>
        <w:t>(</w:t>
      </w:r>
      <w:r>
        <w:t>e</w:t>
      </w:r>
      <w:r w:rsidRPr="00F64DAB">
        <w:t>)</w:t>
      </w:r>
      <w:r w:rsidRPr="00F64DAB">
        <w:tab/>
        <w:t>whether the conduct was caused, or likely to have been caused, by a failure of the insurer’s systems or procedures;</w:t>
      </w:r>
    </w:p>
    <w:p w14:paraId="38F84417" w14:textId="77777777" w:rsidR="006065F2" w:rsidRPr="00F64DAB" w:rsidRDefault="006065F2" w:rsidP="006065F2">
      <w:pPr>
        <w:pStyle w:val="Apara"/>
      </w:pPr>
      <w:r w:rsidRPr="00F64DAB">
        <w:tab/>
        <w:t>(</w:t>
      </w:r>
      <w:r>
        <w:t>f</w:t>
      </w:r>
      <w:r w:rsidRPr="00F64DAB">
        <w:t>)</w:t>
      </w:r>
      <w:r w:rsidRPr="00F64DAB">
        <w:tab/>
        <w:t>whether the insurer has contravened—</w:t>
      </w:r>
    </w:p>
    <w:p w14:paraId="27590810" w14:textId="3D9D0EF3" w:rsidR="006065F2" w:rsidRPr="007C025E" w:rsidRDefault="006065F2" w:rsidP="006065F2">
      <w:pPr>
        <w:pStyle w:val="Asubpara"/>
      </w:pPr>
      <w:r w:rsidRPr="00F64DAB">
        <w:tab/>
      </w:r>
      <w:r w:rsidRPr="007C025E">
        <w:t>(i)</w:t>
      </w:r>
      <w:r w:rsidRPr="007C025E">
        <w:tab/>
        <w:t xml:space="preserve">a direction given to the insurer under the </w:t>
      </w:r>
      <w:hyperlink r:id="rId60" w:tooltip="Motor Accident Injuries Act 2019" w:history="1">
        <w:r w:rsidRPr="00BB21FF">
          <w:rPr>
            <w:rStyle w:val="charCitHyperlinkAbbrev"/>
          </w:rPr>
          <w:t>Act</w:t>
        </w:r>
      </w:hyperlink>
      <w:r w:rsidRPr="007C025E">
        <w:t>, section 394G (Directions to licensed insurers—general) in relation to the conduct or any similar conduct; or</w:t>
      </w:r>
    </w:p>
    <w:p w14:paraId="1D972242" w14:textId="0FE35786" w:rsidR="006065F2" w:rsidRPr="00A16482" w:rsidRDefault="006065F2" w:rsidP="006065F2">
      <w:pPr>
        <w:pStyle w:val="Asubpara"/>
      </w:pPr>
      <w:r w:rsidRPr="007C025E">
        <w:tab/>
        <w:t>(ii)</w:t>
      </w:r>
      <w:r w:rsidRPr="007C025E">
        <w:tab/>
        <w:t xml:space="preserve">a direction given to the insurer under the </w:t>
      </w:r>
      <w:hyperlink r:id="rId61" w:tooltip="Motor Accident Injuries Act 2019" w:history="1">
        <w:r w:rsidRPr="00BB21FF">
          <w:rPr>
            <w:rStyle w:val="charCitHyperlinkAbbrev"/>
          </w:rPr>
          <w:t>Act</w:t>
        </w:r>
      </w:hyperlink>
      <w:r w:rsidRPr="007C025E">
        <w:t>, section 39</w:t>
      </w:r>
      <w:r w:rsidRPr="00A16482">
        <w:t>4I (Directions to licensed insurers—remediation plans) in relation to the conduct or any similar conduct; or</w:t>
      </w:r>
    </w:p>
    <w:p w14:paraId="4A0A0CA7" w14:textId="0FA4AD57" w:rsidR="006065F2" w:rsidRPr="00A16482" w:rsidRDefault="006065F2" w:rsidP="006065F2">
      <w:pPr>
        <w:pStyle w:val="Asubpara"/>
      </w:pPr>
      <w:r w:rsidRPr="00A16482">
        <w:tab/>
        <w:t>(iii)</w:t>
      </w:r>
      <w:r w:rsidRPr="00A16482">
        <w:tab/>
        <w:t xml:space="preserve">a remediation plan approved under the </w:t>
      </w:r>
      <w:hyperlink r:id="rId62" w:tooltip="Motor Accident Injuries Act 2019" w:history="1">
        <w:r w:rsidRPr="00BB21FF">
          <w:rPr>
            <w:rStyle w:val="charCitHyperlinkAbbrev"/>
          </w:rPr>
          <w:t>Act</w:t>
        </w:r>
      </w:hyperlink>
      <w:r w:rsidRPr="00A16482">
        <w:t>, section 394I (5) (a) in relation to the conduct or any similar conduct;</w:t>
      </w:r>
    </w:p>
    <w:p w14:paraId="7E9431DD" w14:textId="77777777" w:rsidR="006065F2" w:rsidRPr="00A16482" w:rsidRDefault="006065F2" w:rsidP="006065F2">
      <w:pPr>
        <w:pStyle w:val="Apara"/>
      </w:pPr>
      <w:r w:rsidRPr="00A16482">
        <w:tab/>
        <w:t>(</w:t>
      </w:r>
      <w:r>
        <w:t>g</w:t>
      </w:r>
      <w:r w:rsidRPr="00A16482">
        <w:t>)</w:t>
      </w:r>
      <w:r w:rsidRPr="00A16482">
        <w:tab/>
        <w:t>any effect, or likely effect, of the conduct on the insurer, including—</w:t>
      </w:r>
    </w:p>
    <w:p w14:paraId="1649EB44" w14:textId="77777777" w:rsidR="006065F2" w:rsidRPr="00A16482" w:rsidRDefault="006065F2" w:rsidP="006065F2">
      <w:pPr>
        <w:pStyle w:val="Asubpara"/>
      </w:pPr>
      <w:r w:rsidRPr="00A16482">
        <w:tab/>
        <w:t>(i)</w:t>
      </w:r>
      <w:r w:rsidRPr="00A16482">
        <w:tab/>
        <w:t>any adverse effect, or likely adverse effect, on public confidence in the insurer; and</w:t>
      </w:r>
    </w:p>
    <w:p w14:paraId="2CD34C79" w14:textId="77777777" w:rsidR="006065F2" w:rsidRPr="00A16482" w:rsidRDefault="006065F2" w:rsidP="006065F2">
      <w:pPr>
        <w:pStyle w:val="Asubpara"/>
      </w:pPr>
      <w:r w:rsidRPr="00A16482">
        <w:tab/>
        <w:t>(ii)</w:t>
      </w:r>
      <w:r w:rsidRPr="00A16482">
        <w:tab/>
        <w:t>any effect, or likely effect, on the operation of the insurer’s business as an MAI insurer; and</w:t>
      </w:r>
    </w:p>
    <w:p w14:paraId="41297D59" w14:textId="77777777" w:rsidR="006065F2" w:rsidRPr="00A16482" w:rsidRDefault="006065F2" w:rsidP="006065F2">
      <w:pPr>
        <w:pStyle w:val="Asubpara"/>
      </w:pPr>
      <w:r w:rsidRPr="00A16482">
        <w:tab/>
        <w:t>(iii)</w:t>
      </w:r>
      <w:r w:rsidRPr="00A16482">
        <w:tab/>
        <w:t>any financial implications, or likely financial implications, for the insurer;</w:t>
      </w:r>
    </w:p>
    <w:p w14:paraId="6FBA8C6E" w14:textId="77777777" w:rsidR="006065F2" w:rsidRPr="00A16482" w:rsidRDefault="006065F2" w:rsidP="006065F2">
      <w:pPr>
        <w:pStyle w:val="Apara"/>
      </w:pPr>
      <w:r w:rsidRPr="00A16482">
        <w:tab/>
        <w:t>(</w:t>
      </w:r>
      <w:r>
        <w:t>h</w:t>
      </w:r>
      <w:r w:rsidRPr="00A16482">
        <w:t>)</w:t>
      </w:r>
      <w:r w:rsidRPr="00A16482">
        <w:tab/>
        <w:t>any adverse effect, or likely adverse effect, of the conduct on competition between MAI insurers;</w:t>
      </w:r>
    </w:p>
    <w:p w14:paraId="62AA54A4" w14:textId="77777777" w:rsidR="006065F2" w:rsidRPr="00A16482" w:rsidRDefault="006065F2" w:rsidP="006065F2">
      <w:pPr>
        <w:pStyle w:val="Apara"/>
      </w:pPr>
      <w:r w:rsidRPr="00A16482">
        <w:tab/>
        <w:t>(</w:t>
      </w:r>
      <w:r>
        <w:t>i</w:t>
      </w:r>
      <w:r w:rsidRPr="00A16482">
        <w:t>)</w:t>
      </w:r>
      <w:r w:rsidRPr="00A16482">
        <w:tab/>
        <w:t>any adverse effect, or likely adverse effect, of the conduct on the operation of the Act;</w:t>
      </w:r>
    </w:p>
    <w:p w14:paraId="3B7DFB02" w14:textId="77777777" w:rsidR="006065F2" w:rsidRPr="00A16482" w:rsidRDefault="006065F2" w:rsidP="006065F2">
      <w:pPr>
        <w:pStyle w:val="Apara"/>
      </w:pPr>
      <w:r w:rsidRPr="00A16482">
        <w:tab/>
        <w:t>(</w:t>
      </w:r>
      <w:r>
        <w:t>j</w:t>
      </w:r>
      <w:r w:rsidRPr="00A16482">
        <w:t>)</w:t>
      </w:r>
      <w:r w:rsidRPr="00A16482">
        <w:tab/>
        <w:t>any adverse effect, or likely adverse effect, of the conduct on public confidence in the operation of the Act;</w:t>
      </w:r>
    </w:p>
    <w:p w14:paraId="6B1356FD" w14:textId="77777777" w:rsidR="006065F2" w:rsidRPr="00A16482" w:rsidRDefault="006065F2" w:rsidP="006065F2">
      <w:pPr>
        <w:pStyle w:val="Apara"/>
      </w:pPr>
      <w:r w:rsidRPr="00A16482">
        <w:lastRenderedPageBreak/>
        <w:tab/>
        <w:t>(</w:t>
      </w:r>
      <w:r>
        <w:t>k</w:t>
      </w:r>
      <w:r w:rsidRPr="00A16482">
        <w:t>)</w:t>
      </w:r>
      <w:r w:rsidRPr="00A16482">
        <w:tab/>
        <w:t>any similar conduct, including—</w:t>
      </w:r>
    </w:p>
    <w:p w14:paraId="5FFD0AE4" w14:textId="77777777" w:rsidR="006065F2" w:rsidRPr="00A16482" w:rsidRDefault="006065F2" w:rsidP="006065F2">
      <w:pPr>
        <w:pStyle w:val="Asubpara"/>
      </w:pPr>
      <w:r w:rsidRPr="00A16482">
        <w:tab/>
        <w:t>(i)</w:t>
      </w:r>
      <w:r w:rsidRPr="00A16482">
        <w:tab/>
        <w:t>whether the insurer reported the similar conduct to the MAI commission; and</w:t>
      </w:r>
    </w:p>
    <w:p w14:paraId="0997A4B9" w14:textId="77777777" w:rsidR="006065F2" w:rsidRPr="00A16482" w:rsidRDefault="006065F2" w:rsidP="006065F2">
      <w:pPr>
        <w:pStyle w:val="Asubpara"/>
      </w:pPr>
      <w:r w:rsidRPr="00A16482">
        <w:tab/>
        <w:t>(ii)</w:t>
      </w:r>
      <w:r w:rsidRPr="00A16482">
        <w:tab/>
        <w:t>any action taken by the insurer to—</w:t>
      </w:r>
    </w:p>
    <w:p w14:paraId="19970328" w14:textId="77777777" w:rsidR="006065F2" w:rsidRPr="00A16482" w:rsidRDefault="006065F2" w:rsidP="006065F2">
      <w:pPr>
        <w:pStyle w:val="Asubsubpara"/>
      </w:pPr>
      <w:r w:rsidRPr="00A16482">
        <w:tab/>
        <w:t>(A)</w:t>
      </w:r>
      <w:r w:rsidRPr="00A16482">
        <w:tab/>
        <w:t>investigate the nature and extent of the similar conduct; and</w:t>
      </w:r>
    </w:p>
    <w:p w14:paraId="5160E6FA" w14:textId="77777777" w:rsidR="006065F2" w:rsidRPr="00A16482" w:rsidRDefault="006065F2" w:rsidP="006065F2">
      <w:pPr>
        <w:pStyle w:val="Asubsubpara"/>
      </w:pPr>
      <w:r w:rsidRPr="00A16482">
        <w:tab/>
        <w:t>(B)</w:t>
      </w:r>
      <w:r w:rsidRPr="00A16482">
        <w:tab/>
        <w:t>remediate the similar conduct; and</w:t>
      </w:r>
    </w:p>
    <w:p w14:paraId="0D89EFAC" w14:textId="77777777" w:rsidR="006065F2" w:rsidRPr="00A16482" w:rsidRDefault="006065F2" w:rsidP="006065F2">
      <w:pPr>
        <w:pStyle w:val="Asubsubpara"/>
      </w:pPr>
      <w:r w:rsidRPr="00A16482">
        <w:tab/>
        <w:t>(C)</w:t>
      </w:r>
      <w:r w:rsidRPr="00A16482">
        <w:tab/>
        <w:t>remove or mitigate the risk of further similar conduct happening;</w:t>
      </w:r>
    </w:p>
    <w:p w14:paraId="7FBC4DB5" w14:textId="77777777" w:rsidR="006065F2" w:rsidRPr="00A16482" w:rsidRDefault="006065F2" w:rsidP="006065F2">
      <w:pPr>
        <w:pStyle w:val="Apara"/>
      </w:pPr>
      <w:r w:rsidRPr="00A16482">
        <w:tab/>
        <w:t>(</w:t>
      </w:r>
      <w:r>
        <w:t>l</w:t>
      </w:r>
      <w:r w:rsidRPr="00A16482">
        <w:t>)</w:t>
      </w:r>
      <w:r w:rsidRPr="00A16482">
        <w:tab/>
        <w:t>any other matter the MAI commission considers relevant.</w:t>
      </w:r>
    </w:p>
    <w:p w14:paraId="75FE09BE" w14:textId="77777777" w:rsidR="006065F2" w:rsidRPr="00F64DAB" w:rsidRDefault="006065F2" w:rsidP="006065F2">
      <w:pPr>
        <w:pStyle w:val="Amain"/>
      </w:pPr>
      <w:r w:rsidRPr="00A16482">
        <w:tab/>
        <w:t>(2)</w:t>
      </w:r>
      <w:r w:rsidRPr="00A16482">
        <w:tab/>
        <w:t>In this section:</w:t>
      </w:r>
    </w:p>
    <w:p w14:paraId="53A3EEB3" w14:textId="514876E9" w:rsidR="006065F2" w:rsidRPr="0040482C" w:rsidRDefault="006065F2" w:rsidP="006065F2">
      <w:pPr>
        <w:pStyle w:val="aDef"/>
      </w:pPr>
      <w:r w:rsidRPr="00BB21FF">
        <w:rPr>
          <w:rStyle w:val="charBoldItals"/>
        </w:rPr>
        <w:t>similar conduct</w:t>
      </w:r>
      <w:r w:rsidRPr="00F64DAB">
        <w:t xml:space="preserve"> means any conduct of the licensed insurer that is the same as or similar to the conduct constituting the ground for financial penalty.</w:t>
      </w:r>
    </w:p>
    <w:p w14:paraId="78933EAF" w14:textId="77777777" w:rsidR="0012099E" w:rsidRPr="0040482C" w:rsidRDefault="0012099E" w:rsidP="0012099E">
      <w:pPr>
        <w:pStyle w:val="PageBreak"/>
      </w:pPr>
      <w:r w:rsidRPr="0040482C">
        <w:br w:type="page"/>
      </w:r>
    </w:p>
    <w:p w14:paraId="1E0E24DE" w14:textId="77777777" w:rsidR="0008376A" w:rsidRDefault="0008376A">
      <w:pPr>
        <w:pStyle w:val="02Text"/>
        <w:sectPr w:rsidR="0008376A">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6483BA32" w14:textId="77777777" w:rsidR="001D6079" w:rsidRPr="009F0332" w:rsidRDefault="0040482C" w:rsidP="0040482C">
      <w:pPr>
        <w:pStyle w:val="Sched-heading"/>
      </w:pPr>
      <w:bookmarkStart w:id="48" w:name="_Toc153373717"/>
      <w:r w:rsidRPr="009F0332">
        <w:rPr>
          <w:rStyle w:val="CharChapNo"/>
        </w:rPr>
        <w:lastRenderedPageBreak/>
        <w:t>Schedule 1</w:t>
      </w:r>
      <w:r w:rsidRPr="0040482C">
        <w:tab/>
      </w:r>
      <w:r w:rsidR="00BA3C17" w:rsidRPr="009F0332">
        <w:rPr>
          <w:rStyle w:val="CharChapText"/>
        </w:rPr>
        <w:t>MAI</w:t>
      </w:r>
      <w:r w:rsidR="001D6079" w:rsidRPr="009F0332">
        <w:rPr>
          <w:rStyle w:val="CharChapText"/>
        </w:rPr>
        <w:t> premium classes</w:t>
      </w:r>
      <w:bookmarkEnd w:id="48"/>
    </w:p>
    <w:p w14:paraId="2C8AFB17" w14:textId="77777777" w:rsidR="001D6079" w:rsidRPr="0040482C" w:rsidRDefault="00BA3C17" w:rsidP="001D6079">
      <w:pPr>
        <w:pStyle w:val="ref"/>
      </w:pPr>
      <w:r w:rsidRPr="0040482C">
        <w:t>(see s </w:t>
      </w:r>
      <w:r w:rsidR="00942D10" w:rsidRPr="0040482C">
        <w:t>14</w:t>
      </w:r>
      <w:r w:rsidR="001D6079" w:rsidRPr="0040482C">
        <w:t>)</w:t>
      </w:r>
    </w:p>
    <w:p w14:paraId="6ACF5C8C" w14:textId="77777777" w:rsidR="001D6079" w:rsidRPr="009F0332" w:rsidRDefault="0040482C" w:rsidP="0040482C">
      <w:pPr>
        <w:pStyle w:val="Sched-Part"/>
      </w:pPr>
      <w:bookmarkStart w:id="49" w:name="_Toc153373718"/>
      <w:r w:rsidRPr="009F0332">
        <w:rPr>
          <w:rStyle w:val="CharPartNo"/>
        </w:rPr>
        <w:t>Part 1.1</w:t>
      </w:r>
      <w:r w:rsidRPr="0040482C">
        <w:tab/>
      </w:r>
      <w:r w:rsidR="001D6079" w:rsidRPr="009F0332">
        <w:rPr>
          <w:rStyle w:val="CharPartText"/>
        </w:rPr>
        <w:t>Definitions</w:t>
      </w:r>
      <w:bookmarkEnd w:id="49"/>
    </w:p>
    <w:p w14:paraId="301E53BB" w14:textId="77777777" w:rsidR="001D6079" w:rsidRPr="0040482C" w:rsidRDefault="0040482C" w:rsidP="0040482C">
      <w:pPr>
        <w:pStyle w:val="Schclauseheading"/>
      </w:pPr>
      <w:bookmarkStart w:id="50" w:name="_Toc153373719"/>
      <w:r w:rsidRPr="009F0332">
        <w:rPr>
          <w:rStyle w:val="CharSectNo"/>
        </w:rPr>
        <w:t>1.1</w:t>
      </w:r>
      <w:r w:rsidRPr="0040482C">
        <w:tab/>
      </w:r>
      <w:r w:rsidR="001D6079" w:rsidRPr="0040482C">
        <w:t xml:space="preserve">Definitions—sch </w:t>
      </w:r>
      <w:r w:rsidR="00372393" w:rsidRPr="0040482C">
        <w:t>1</w:t>
      </w:r>
      <w:bookmarkEnd w:id="50"/>
    </w:p>
    <w:p w14:paraId="167F03EE" w14:textId="77777777" w:rsidR="001D6079" w:rsidRPr="0040482C" w:rsidRDefault="008A6E48" w:rsidP="001D6079">
      <w:pPr>
        <w:pStyle w:val="Amainreturn"/>
      </w:pPr>
      <w:r w:rsidRPr="0040482C">
        <w:t>In this schedule:</w:t>
      </w:r>
    </w:p>
    <w:p w14:paraId="21C67085" w14:textId="77777777" w:rsidR="001D6079" w:rsidRPr="0040482C" w:rsidRDefault="001D6079" w:rsidP="0040482C">
      <w:pPr>
        <w:pStyle w:val="aDef"/>
      </w:pPr>
      <w:r w:rsidRPr="0040482C">
        <w:rPr>
          <w:rStyle w:val="charBoldItals"/>
        </w:rPr>
        <w:t>ambulance</w:t>
      </w:r>
      <w:r w:rsidRPr="0040482C">
        <w:t xml:space="preserve"> means a motor vehicle built to transport sick or injured people.</w:t>
      </w:r>
    </w:p>
    <w:p w14:paraId="54D7547D" w14:textId="376213EF" w:rsidR="001D6079" w:rsidRPr="0040482C" w:rsidRDefault="001D6079" w:rsidP="0040482C">
      <w:pPr>
        <w:pStyle w:val="aDef"/>
      </w:pPr>
      <w:r w:rsidRPr="0040482C">
        <w:rPr>
          <w:rStyle w:val="charBoldItals"/>
        </w:rPr>
        <w:t>breakdown vehicle</w:t>
      </w:r>
      <w:r w:rsidRPr="0040482C">
        <w:t xml:space="preserve"> means a tow truck within the meaning of the </w:t>
      </w:r>
      <w:hyperlink r:id="rId68" w:tooltip="SL2000-12" w:history="1">
        <w:r w:rsidR="002639DD" w:rsidRPr="002639DD">
          <w:rPr>
            <w:rStyle w:val="charCitHyperlinkItal"/>
          </w:rPr>
          <w:t>Road Transport (Vehicle Registration) Regulation 2000</w:t>
        </w:r>
      </w:hyperlink>
      <w:r w:rsidRPr="0040482C">
        <w:t>.</w:t>
      </w:r>
    </w:p>
    <w:p w14:paraId="63D125C3" w14:textId="77777777" w:rsidR="001D6079" w:rsidRPr="0040482C" w:rsidRDefault="001D6079" w:rsidP="0040482C">
      <w:pPr>
        <w:pStyle w:val="aDef"/>
        <w:keepNext/>
      </w:pPr>
      <w:r w:rsidRPr="0040482C">
        <w:rPr>
          <w:rStyle w:val="charBoldItals"/>
        </w:rPr>
        <w:t xml:space="preserve">bus </w:t>
      </w:r>
      <w:r w:rsidRPr="0040482C">
        <w:t xml:space="preserve">means a motor vehicle used to carry paying </w:t>
      </w:r>
      <w:r w:rsidR="00BA3C17" w:rsidRPr="0040482C">
        <w:t>passengers but does not include the following:</w:t>
      </w:r>
    </w:p>
    <w:p w14:paraId="69A28852" w14:textId="77777777" w:rsidR="001D6079" w:rsidRPr="0040482C" w:rsidRDefault="0040482C" w:rsidP="0040482C">
      <w:pPr>
        <w:pStyle w:val="aDefpara"/>
        <w:keepNext/>
      </w:pPr>
      <w:r>
        <w:tab/>
      </w:r>
      <w:r w:rsidRPr="0040482C">
        <w:t>(a)</w:t>
      </w:r>
      <w:r w:rsidRPr="0040482C">
        <w:tab/>
      </w:r>
      <w:r w:rsidR="001D6079" w:rsidRPr="0040482C">
        <w:t>a deman</w:t>
      </w:r>
      <w:r w:rsidR="00BA3C17" w:rsidRPr="0040482C">
        <w:t xml:space="preserve">d responsive service vehicle; </w:t>
      </w:r>
    </w:p>
    <w:p w14:paraId="1B54B3DE" w14:textId="77777777" w:rsidR="001D6079" w:rsidRPr="0040482C" w:rsidRDefault="0040482C" w:rsidP="0040482C">
      <w:pPr>
        <w:pStyle w:val="aDefpara"/>
        <w:keepNext/>
      </w:pPr>
      <w:r>
        <w:tab/>
      </w:r>
      <w:r w:rsidRPr="0040482C">
        <w:t>(b)</w:t>
      </w:r>
      <w:r w:rsidRPr="0040482C">
        <w:tab/>
      </w:r>
      <w:r w:rsidR="00BA3C17" w:rsidRPr="0040482C">
        <w:t xml:space="preserve">a taxi; </w:t>
      </w:r>
    </w:p>
    <w:p w14:paraId="1B850BB7" w14:textId="77777777" w:rsidR="001D6079" w:rsidRPr="0040482C" w:rsidRDefault="0040482C" w:rsidP="0040482C">
      <w:pPr>
        <w:pStyle w:val="aDefpara"/>
        <w:keepNext/>
      </w:pPr>
      <w:r>
        <w:tab/>
      </w:r>
      <w:r w:rsidRPr="0040482C">
        <w:t>(c)</w:t>
      </w:r>
      <w:r w:rsidRPr="0040482C">
        <w:tab/>
      </w:r>
      <w:r w:rsidR="00BA3C17" w:rsidRPr="0040482C">
        <w:t xml:space="preserve">a private hire car; </w:t>
      </w:r>
    </w:p>
    <w:p w14:paraId="5A1F2A92" w14:textId="77777777" w:rsidR="001D6079" w:rsidRPr="0040482C" w:rsidRDefault="0040482C" w:rsidP="0040482C">
      <w:pPr>
        <w:pStyle w:val="aDefpara"/>
        <w:keepNext/>
      </w:pPr>
      <w:r>
        <w:tab/>
      </w:r>
      <w:r w:rsidRPr="0040482C">
        <w:t>(d)</w:t>
      </w:r>
      <w:r w:rsidRPr="0040482C">
        <w:tab/>
      </w:r>
      <w:r w:rsidR="00BA3C17" w:rsidRPr="0040482C">
        <w:t xml:space="preserve">a restricted hire car; </w:t>
      </w:r>
    </w:p>
    <w:p w14:paraId="78B0FAA1" w14:textId="77777777" w:rsidR="001D6079" w:rsidRPr="0040482C" w:rsidRDefault="0040482C" w:rsidP="0040482C">
      <w:pPr>
        <w:pStyle w:val="aDefpara"/>
        <w:keepNext/>
      </w:pPr>
      <w:r>
        <w:tab/>
      </w:r>
      <w:r w:rsidRPr="0040482C">
        <w:t>(e)</w:t>
      </w:r>
      <w:r w:rsidRPr="0040482C">
        <w:tab/>
      </w:r>
      <w:r w:rsidR="00BA3C17" w:rsidRPr="0040482C">
        <w:t xml:space="preserve">a rideshare vehicle; </w:t>
      </w:r>
    </w:p>
    <w:p w14:paraId="388BD94A" w14:textId="77777777" w:rsidR="001D6079" w:rsidRPr="0040482C" w:rsidRDefault="0040482C" w:rsidP="0040482C">
      <w:pPr>
        <w:pStyle w:val="aDefpara"/>
      </w:pPr>
      <w:r>
        <w:tab/>
      </w:r>
      <w:r w:rsidRPr="0040482C">
        <w:t>(f)</w:t>
      </w:r>
      <w:r w:rsidRPr="0040482C">
        <w:tab/>
      </w:r>
      <w:r w:rsidR="001D6079" w:rsidRPr="0040482C">
        <w:t>a light rail vehicle.</w:t>
      </w:r>
    </w:p>
    <w:p w14:paraId="681BCDD0" w14:textId="77777777" w:rsidR="001D6079" w:rsidRPr="0040482C" w:rsidRDefault="001D6079" w:rsidP="0040482C">
      <w:pPr>
        <w:pStyle w:val="aDef"/>
      </w:pPr>
      <w:r w:rsidRPr="0040482C">
        <w:rPr>
          <w:rStyle w:val="charBoldItals"/>
        </w:rPr>
        <w:t xml:space="preserve">car rental service </w:t>
      </w:r>
      <w:r w:rsidRPr="0040482C">
        <w:t>means a business operating a fleet of 5</w:t>
      </w:r>
      <w:r w:rsidR="00BA3C17" w:rsidRPr="0040482C">
        <w:t> </w:t>
      </w:r>
      <w:r w:rsidRPr="0040482C">
        <w:t>or more motor vehicles, under common ownership or management, for hire.</w:t>
      </w:r>
    </w:p>
    <w:p w14:paraId="0DB38DEA" w14:textId="47AA6653" w:rsidR="001D6079" w:rsidRPr="0040482C" w:rsidRDefault="001D6079" w:rsidP="0040482C">
      <w:pPr>
        <w:pStyle w:val="aDef"/>
      </w:pPr>
      <w:r w:rsidRPr="0040482C">
        <w:rPr>
          <w:rStyle w:val="charBoldItals"/>
        </w:rPr>
        <w:t>demand responsive service vehicle</w:t>
      </w:r>
      <w:r w:rsidRPr="0040482C">
        <w:t xml:space="preserve">—see the </w:t>
      </w:r>
      <w:hyperlink r:id="rId69" w:tooltip="A2001-62" w:history="1">
        <w:r w:rsidR="007E0DA7" w:rsidRPr="007E0DA7">
          <w:rPr>
            <w:rStyle w:val="charCitHyperlinkItal"/>
          </w:rPr>
          <w:t>Road Transport (Public Passenger Services) Act 2001</w:t>
        </w:r>
      </w:hyperlink>
      <w:r w:rsidRPr="0040482C">
        <w:t>, section 81.</w:t>
      </w:r>
    </w:p>
    <w:p w14:paraId="3C580C52" w14:textId="77777777" w:rsidR="001D6079" w:rsidRPr="0040482C" w:rsidRDefault="001D6079" w:rsidP="0040482C">
      <w:pPr>
        <w:pStyle w:val="aDef"/>
        <w:keepNext/>
      </w:pPr>
      <w:r w:rsidRPr="0040482C">
        <w:rPr>
          <w:rStyle w:val="charBoldItals"/>
        </w:rPr>
        <w:lastRenderedPageBreak/>
        <w:t>drive-yourself vehicle</w:t>
      </w:r>
      <w:r w:rsidRPr="0040482C">
        <w:t>—</w:t>
      </w:r>
    </w:p>
    <w:p w14:paraId="18DD761D" w14:textId="77777777" w:rsidR="001D6079" w:rsidRPr="0040482C" w:rsidRDefault="0040482C" w:rsidP="0040482C">
      <w:pPr>
        <w:pStyle w:val="aDefpara"/>
        <w:keepNext/>
      </w:pPr>
      <w:r>
        <w:tab/>
      </w:r>
      <w:r w:rsidRPr="0040482C">
        <w:t>(a)</w:t>
      </w:r>
      <w:r w:rsidRPr="0040482C">
        <w:tab/>
      </w:r>
      <w:r w:rsidR="001D6079" w:rsidRPr="0040482C">
        <w:t>means a motor vehicle let for hire, without the services of a driver, by a car rental service; but</w:t>
      </w:r>
    </w:p>
    <w:p w14:paraId="03090597" w14:textId="77777777" w:rsidR="001D6079" w:rsidRPr="0040482C" w:rsidRDefault="0040482C" w:rsidP="0040482C">
      <w:pPr>
        <w:pStyle w:val="aDefpara"/>
      </w:pPr>
      <w:r>
        <w:tab/>
      </w:r>
      <w:r w:rsidRPr="0040482C">
        <w:t>(b)</w:t>
      </w:r>
      <w:r w:rsidRPr="0040482C">
        <w:tab/>
      </w:r>
      <w:r w:rsidR="001D6079" w:rsidRPr="0040482C">
        <w:t>does not include a motor vehicle let for hire under a lease or hire</w:t>
      </w:r>
      <m:oMath>
        <m:r>
          <m:rPr>
            <m:sty m:val="p"/>
          </m:rPr>
          <w:rPr>
            <w:rFonts w:ascii="Cambria Math" w:hAnsi="Cambria Math"/>
          </w:rPr>
          <w:noBreakHyphen/>
        </m:r>
      </m:oMath>
      <w:r w:rsidR="001D6079" w:rsidRPr="0040482C">
        <w:t>purchase agreement.</w:t>
      </w:r>
    </w:p>
    <w:p w14:paraId="0C28172C" w14:textId="77777777" w:rsidR="001D6079" w:rsidRPr="0040482C" w:rsidRDefault="001D6079" w:rsidP="0040482C">
      <w:pPr>
        <w:pStyle w:val="aDef"/>
      </w:pPr>
      <w:r w:rsidRPr="0040482C">
        <w:rPr>
          <w:rStyle w:val="charBoldItals"/>
        </w:rPr>
        <w:t>firefighting vehicle</w:t>
      </w:r>
      <w:r w:rsidRPr="0040482C">
        <w:t xml:space="preserve"> means a motor vehicle used mainly for firefighting.</w:t>
      </w:r>
    </w:p>
    <w:p w14:paraId="790DB7FE" w14:textId="77777777" w:rsidR="001D6079" w:rsidRPr="0040482C" w:rsidRDefault="001D6079" w:rsidP="0040482C">
      <w:pPr>
        <w:pStyle w:val="aDef"/>
      </w:pPr>
      <w:r w:rsidRPr="0040482C">
        <w:rPr>
          <w:rStyle w:val="charBoldItals"/>
        </w:rPr>
        <w:t>goods vehicle</w:t>
      </w:r>
      <w:r w:rsidRPr="0040482C">
        <w:t xml:space="preserve"> means</w:t>
      </w:r>
      <w:r w:rsidRPr="0040482C">
        <w:rPr>
          <w:szCs w:val="24"/>
          <w:lang w:eastAsia="en-AU"/>
        </w:rPr>
        <w:t xml:space="preserve"> a motor vehicle built mainly to transport goods.</w:t>
      </w:r>
    </w:p>
    <w:p w14:paraId="1E588746" w14:textId="6005C04E" w:rsidR="001D6079" w:rsidRPr="0040482C" w:rsidRDefault="001D6079" w:rsidP="0040482C">
      <w:pPr>
        <w:pStyle w:val="aDef"/>
      </w:pPr>
      <w:r w:rsidRPr="0040482C">
        <w:rPr>
          <w:rStyle w:val="charBoldItals"/>
        </w:rPr>
        <w:t>GVM</w:t>
      </w:r>
      <w:r w:rsidRPr="0040482C">
        <w:t xml:space="preserve">, of a vehicle––see the </w:t>
      </w:r>
      <w:hyperlink r:id="rId70" w:tooltip="A1999-81" w:history="1">
        <w:r w:rsidR="00F21B7B" w:rsidRPr="00F21B7B">
          <w:rPr>
            <w:rStyle w:val="charCitHyperlinkItal"/>
          </w:rPr>
          <w:t>Road Transport (Vehicle Registration) Act 1999</w:t>
        </w:r>
      </w:hyperlink>
      <w:r w:rsidRPr="0040482C">
        <w:t>, dictionary.</w:t>
      </w:r>
    </w:p>
    <w:p w14:paraId="454A444C" w14:textId="7F3B3E49" w:rsidR="001D6079" w:rsidRPr="0040482C" w:rsidRDefault="001D6079" w:rsidP="0040482C">
      <w:pPr>
        <w:pStyle w:val="aDef"/>
      </w:pPr>
      <w:r w:rsidRPr="0040482C">
        <w:rPr>
          <w:rStyle w:val="charBoldItals"/>
        </w:rPr>
        <w:t>hire car</w:t>
      </w:r>
      <w:r w:rsidRPr="0040482C">
        <w:t xml:space="preserve">—see the </w:t>
      </w:r>
      <w:hyperlink r:id="rId71" w:tooltip="A2001-62" w:history="1">
        <w:r w:rsidR="00F21B7B" w:rsidRPr="00F21B7B">
          <w:rPr>
            <w:rStyle w:val="charCitHyperlinkItal"/>
          </w:rPr>
          <w:t>Road Transport (Public Passenger Services) Act 2001</w:t>
        </w:r>
      </w:hyperlink>
      <w:r w:rsidRPr="0040482C">
        <w:t>, section 67.</w:t>
      </w:r>
    </w:p>
    <w:p w14:paraId="4D2AF678" w14:textId="64E127A9" w:rsidR="001D6079" w:rsidRPr="0040482C" w:rsidRDefault="001D6079" w:rsidP="0040482C">
      <w:pPr>
        <w:pStyle w:val="aDef"/>
      </w:pPr>
      <w:r w:rsidRPr="0040482C">
        <w:rPr>
          <w:rStyle w:val="charBoldItals"/>
        </w:rPr>
        <w:t>historic vehicle</w:t>
      </w:r>
      <w:r w:rsidRPr="0040482C">
        <w:t xml:space="preserve">—see the </w:t>
      </w:r>
      <w:hyperlink r:id="rId72" w:tooltip="A1999-7" w:history="1">
        <w:r w:rsidR="00F21B7B" w:rsidRPr="00F21B7B">
          <w:rPr>
            <w:rStyle w:val="charCitHyperlinkItal"/>
          </w:rPr>
          <w:t>Duties Act 1999</w:t>
        </w:r>
      </w:hyperlink>
      <w:r w:rsidRPr="0040482C">
        <w:t>, section 217 (3).</w:t>
      </w:r>
    </w:p>
    <w:p w14:paraId="043E31CA" w14:textId="2AC1A122" w:rsidR="001D6079" w:rsidRPr="0040482C" w:rsidRDefault="001D6079" w:rsidP="0040482C">
      <w:pPr>
        <w:pStyle w:val="aDef"/>
        <w:rPr>
          <w:snapToGrid w:val="0"/>
        </w:rPr>
      </w:pPr>
      <w:r w:rsidRPr="0040482C">
        <w:rPr>
          <w:rStyle w:val="charBoldItals"/>
        </w:rPr>
        <w:t>implement</w:t>
      </w:r>
      <w:r w:rsidRPr="0040482C">
        <w:rPr>
          <w:snapToGrid w:val="0"/>
        </w:rPr>
        <w:t xml:space="preserve">—see the </w:t>
      </w:r>
      <w:hyperlink r:id="rId73" w:tooltip="SL2000-12" w:history="1">
        <w:r w:rsidR="00F21B7B" w:rsidRPr="00F21B7B">
          <w:rPr>
            <w:rStyle w:val="charCitHyperlinkItal"/>
          </w:rPr>
          <w:t>Road Transport (Vehicle Registration) Regulation 2000</w:t>
        </w:r>
      </w:hyperlink>
      <w:r w:rsidRPr="0040482C">
        <w:rPr>
          <w:snapToGrid w:val="0"/>
        </w:rPr>
        <w:t>, dictionary.</w:t>
      </w:r>
    </w:p>
    <w:p w14:paraId="6108BDD7" w14:textId="77777777" w:rsidR="001D6079" w:rsidRPr="0040482C" w:rsidRDefault="001D6079" w:rsidP="0040482C">
      <w:pPr>
        <w:pStyle w:val="aDef"/>
      </w:pPr>
      <w:r w:rsidRPr="0040482C">
        <w:rPr>
          <w:rStyle w:val="charBoldItals"/>
        </w:rPr>
        <w:t>input tax credit entitlement</w:t>
      </w:r>
      <w:r w:rsidRPr="0040482C">
        <w:t xml:space="preserve"> means an entitlement to an input tax credit for the </w:t>
      </w:r>
      <w:r w:rsidR="00BA3C17" w:rsidRPr="0040482C">
        <w:t>MAI</w:t>
      </w:r>
      <w:r w:rsidRPr="0040482C">
        <w:t xml:space="preserve"> premium for a</w:t>
      </w:r>
      <w:r w:rsidR="00BA3C17" w:rsidRPr="0040482C">
        <w:t>n</w:t>
      </w:r>
      <w:r w:rsidRPr="0040482C">
        <w:t xml:space="preserve"> </w:t>
      </w:r>
      <w:r w:rsidR="00BA3C17" w:rsidRPr="0040482C">
        <w:t>MAI</w:t>
      </w:r>
      <w:r w:rsidRPr="0040482C">
        <w:t xml:space="preserve"> policy.</w:t>
      </w:r>
    </w:p>
    <w:p w14:paraId="2767C86F" w14:textId="77777777" w:rsidR="001D6079" w:rsidRPr="0040482C" w:rsidRDefault="001D6079" w:rsidP="0040482C">
      <w:pPr>
        <w:pStyle w:val="aDef"/>
      </w:pPr>
      <w:r w:rsidRPr="0040482C">
        <w:rPr>
          <w:rStyle w:val="charBoldItals"/>
        </w:rPr>
        <w:t>miscellaneous vehicle</w:t>
      </w:r>
      <w:r w:rsidRPr="0040482C">
        <w:t xml:space="preserve"> means a tractor or implement but does not include a primary producer’s tractor.</w:t>
      </w:r>
    </w:p>
    <w:p w14:paraId="5381104E" w14:textId="77777777" w:rsidR="001D6079" w:rsidRPr="0040482C" w:rsidRDefault="001D6079" w:rsidP="0040482C">
      <w:pPr>
        <w:pStyle w:val="aDef"/>
        <w:keepNext/>
      </w:pPr>
      <w:r w:rsidRPr="0040482C">
        <w:rPr>
          <w:rStyle w:val="charBoldItals"/>
        </w:rPr>
        <w:t>mobile crane</w:t>
      </w:r>
      <w:r w:rsidRPr="0040482C">
        <w:t xml:space="preserve"> means a motor vehicle built mainly as a crane but does not include—</w:t>
      </w:r>
    </w:p>
    <w:p w14:paraId="195B7334" w14:textId="77777777" w:rsidR="001D6079" w:rsidRPr="0040482C" w:rsidRDefault="0040482C" w:rsidP="0040482C">
      <w:pPr>
        <w:pStyle w:val="aDefpara"/>
        <w:keepNext/>
      </w:pPr>
      <w:r>
        <w:tab/>
      </w:r>
      <w:r w:rsidRPr="0040482C">
        <w:t>(a)</w:t>
      </w:r>
      <w:r w:rsidRPr="0040482C">
        <w:tab/>
      </w:r>
      <w:r w:rsidR="001D6079" w:rsidRPr="0040482C">
        <w:t>a breakdown vehicle; or</w:t>
      </w:r>
    </w:p>
    <w:p w14:paraId="645F56D3" w14:textId="77777777" w:rsidR="001D6079" w:rsidRPr="0040482C" w:rsidRDefault="0040482C" w:rsidP="0040482C">
      <w:pPr>
        <w:pStyle w:val="aDefpara"/>
      </w:pPr>
      <w:r>
        <w:tab/>
      </w:r>
      <w:r w:rsidRPr="0040482C">
        <w:t>(b)</w:t>
      </w:r>
      <w:r w:rsidRPr="0040482C">
        <w:tab/>
      </w:r>
      <w:r w:rsidR="001D6079" w:rsidRPr="0040482C">
        <w:t>a tractor.</w:t>
      </w:r>
    </w:p>
    <w:p w14:paraId="0E988619" w14:textId="77777777" w:rsidR="00A56ABB" w:rsidRPr="00AC3B0A" w:rsidRDefault="00A56ABB" w:rsidP="00A56ABB">
      <w:pPr>
        <w:pStyle w:val="aDef"/>
      </w:pPr>
      <w:r w:rsidRPr="00F6136C">
        <w:rPr>
          <w:rStyle w:val="charBoldItals"/>
        </w:rPr>
        <w:t>modified historic vehicle</w:t>
      </w:r>
      <w:r w:rsidRPr="00AC3B0A">
        <w:rPr>
          <w:bCs/>
          <w:iCs/>
        </w:rPr>
        <w:t xml:space="preserve"> </w:t>
      </w:r>
      <w:r w:rsidRPr="00AC3B0A">
        <w:t>means a motor vehicle that</w:t>
      </w:r>
      <w:r w:rsidRPr="00AC3B0A">
        <w:rPr>
          <w:bCs/>
          <w:iCs/>
        </w:rPr>
        <w:t>—</w:t>
      </w:r>
    </w:p>
    <w:p w14:paraId="0C5D1672" w14:textId="77777777" w:rsidR="00A56ABB" w:rsidRPr="00AC3B0A" w:rsidRDefault="00A56ABB" w:rsidP="00633E28">
      <w:pPr>
        <w:pStyle w:val="aDefpara"/>
      </w:pPr>
      <w:r w:rsidRPr="00AC3B0A">
        <w:tab/>
        <w:t>(a)</w:t>
      </w:r>
      <w:r w:rsidRPr="00AC3B0A">
        <w:tab/>
        <w:t xml:space="preserve">was built at least 30 years ago; </w:t>
      </w:r>
      <w:r>
        <w:t>and</w:t>
      </w:r>
    </w:p>
    <w:p w14:paraId="6A32D114" w14:textId="77777777" w:rsidR="00A56ABB" w:rsidRPr="00AC3B0A" w:rsidRDefault="00A56ABB" w:rsidP="00633E28">
      <w:pPr>
        <w:pStyle w:val="aDefpara"/>
      </w:pPr>
      <w:r w:rsidRPr="00AC3B0A">
        <w:tab/>
        <w:t>(</w:t>
      </w:r>
      <w:r>
        <w:t>b</w:t>
      </w:r>
      <w:r w:rsidRPr="00AC3B0A">
        <w:t>)</w:t>
      </w:r>
      <w:r w:rsidRPr="00AC3B0A">
        <w:tab/>
        <w:t>has been modified; and</w:t>
      </w:r>
    </w:p>
    <w:p w14:paraId="3A8BD8EA" w14:textId="77777777" w:rsidR="00A56ABB" w:rsidRPr="00AC3B0A" w:rsidRDefault="00A56ABB" w:rsidP="00633E28">
      <w:pPr>
        <w:pStyle w:val="aDefpara"/>
      </w:pPr>
      <w:r w:rsidRPr="00AC3B0A">
        <w:lastRenderedPageBreak/>
        <w:tab/>
        <w:t>(</w:t>
      </w:r>
      <w:r>
        <w:t>c</w:t>
      </w:r>
      <w:r w:rsidRPr="00AC3B0A">
        <w:t>)</w:t>
      </w:r>
      <w:r w:rsidRPr="00AC3B0A">
        <w:tab/>
        <w:t>if the vehicle had not been modified—would be classified as a veteran vehicle, vintage vehicle or historic vehicle.</w:t>
      </w:r>
    </w:p>
    <w:p w14:paraId="220D4B06" w14:textId="77777777" w:rsidR="00A56ABB" w:rsidRPr="00AC3B0A" w:rsidRDefault="00A56ABB" w:rsidP="00A56ABB">
      <w:pPr>
        <w:pStyle w:val="aExamHdgss"/>
      </w:pPr>
      <w:r w:rsidRPr="00AC3B0A">
        <w:t>Example</w:t>
      </w:r>
      <w:r>
        <w:t>s</w:t>
      </w:r>
      <w:r w:rsidRPr="00AC3B0A">
        <w:t>—modified historic vehicle</w:t>
      </w:r>
    </w:p>
    <w:p w14:paraId="7303D9A0" w14:textId="77777777" w:rsidR="00A56ABB" w:rsidRDefault="00A56ABB" w:rsidP="00A56ABB">
      <w:pPr>
        <w:pStyle w:val="aExamss"/>
      </w:pPr>
      <w:r w:rsidRPr="00AC3B0A">
        <w:t>street rod or street machine vehicle</w:t>
      </w:r>
    </w:p>
    <w:p w14:paraId="75C0D505" w14:textId="77777777" w:rsidR="00A56ABB" w:rsidRPr="00AC3B0A" w:rsidRDefault="00A56ABB" w:rsidP="00A56ABB">
      <w:pPr>
        <w:pStyle w:val="aExamHdgss"/>
      </w:pPr>
      <w:r w:rsidRPr="00AC3B0A">
        <w:t>Examples—modified</w:t>
      </w:r>
    </w:p>
    <w:p w14:paraId="01B91170" w14:textId="77777777" w:rsidR="00A56ABB" w:rsidRPr="00AC3B0A" w:rsidRDefault="00A56ABB" w:rsidP="00A56ABB">
      <w:pPr>
        <w:pStyle w:val="aExamINumss"/>
      </w:pPr>
      <w:r w:rsidRPr="00AC3B0A">
        <w:t>1</w:t>
      </w:r>
      <w:r w:rsidRPr="00AC3B0A">
        <w:tab/>
        <w:t>vehicle’s suspension and wheel guards altered to accommodate tyres wider than original</w:t>
      </w:r>
    </w:p>
    <w:p w14:paraId="33DEA977" w14:textId="77777777" w:rsidR="00A56ABB" w:rsidRPr="00AC3B0A" w:rsidRDefault="00A56ABB" w:rsidP="00A56ABB">
      <w:pPr>
        <w:pStyle w:val="aExamINumss"/>
      </w:pPr>
      <w:r w:rsidRPr="00AC3B0A">
        <w:t>2</w:t>
      </w:r>
      <w:r w:rsidRPr="00AC3B0A">
        <w:tab/>
        <w:t>vehicle’s engine adjusted to increase power output (turbocharging)</w:t>
      </w:r>
    </w:p>
    <w:p w14:paraId="3892BAB0" w14:textId="3DD42EB5" w:rsidR="001D6079" w:rsidRPr="0040482C" w:rsidRDefault="001D6079" w:rsidP="0040482C">
      <w:pPr>
        <w:pStyle w:val="aDef"/>
      </w:pPr>
      <w:r w:rsidRPr="0040482C">
        <w:rPr>
          <w:rStyle w:val="charBoldItals"/>
        </w:rPr>
        <w:t>motorbike</w:t>
      </w:r>
      <w:r w:rsidRPr="0040482C">
        <w:t xml:space="preserve">—see the </w:t>
      </w:r>
      <w:hyperlink r:id="rId74" w:tooltip="SL2000-12" w:history="1">
        <w:r w:rsidR="00F21B7B" w:rsidRPr="00F21B7B">
          <w:rPr>
            <w:rStyle w:val="charCitHyperlinkItal"/>
          </w:rPr>
          <w:t>Road Transport (Vehicle Registration) Regulation 2000</w:t>
        </w:r>
      </w:hyperlink>
      <w:r w:rsidRPr="0040482C">
        <w:t>, dictionary.</w:t>
      </w:r>
    </w:p>
    <w:p w14:paraId="7010CA33" w14:textId="77777777" w:rsidR="001D6079" w:rsidRPr="0040482C" w:rsidRDefault="001D6079" w:rsidP="0040482C">
      <w:pPr>
        <w:pStyle w:val="aDef"/>
      </w:pPr>
      <w:r w:rsidRPr="0040482C">
        <w:rPr>
          <w:rStyle w:val="charBoldItals"/>
        </w:rPr>
        <w:t>motorcycle</w:t>
      </w:r>
      <w:r w:rsidRPr="0040482C">
        <w:t xml:space="preserve"> means a motorbike or motortrike.</w:t>
      </w:r>
    </w:p>
    <w:p w14:paraId="4F2A05AE" w14:textId="6BF382F7" w:rsidR="001D6079" w:rsidRPr="0040482C" w:rsidRDefault="001D6079" w:rsidP="0040482C">
      <w:pPr>
        <w:pStyle w:val="aDef"/>
      </w:pPr>
      <w:r w:rsidRPr="0040482C">
        <w:rPr>
          <w:rStyle w:val="charBoldItals"/>
        </w:rPr>
        <w:t>motortrike</w:t>
      </w:r>
      <w:r w:rsidRPr="0040482C">
        <w:t xml:space="preserve">—see the </w:t>
      </w:r>
      <w:hyperlink r:id="rId75" w:tooltip="SL2000-12" w:history="1">
        <w:r w:rsidR="00F21B7B" w:rsidRPr="00F21B7B">
          <w:rPr>
            <w:rStyle w:val="charCitHyperlinkItal"/>
          </w:rPr>
          <w:t>Road Transport (Vehicle Registration) Regulation 2000</w:t>
        </w:r>
      </w:hyperlink>
      <w:r w:rsidRPr="0040482C">
        <w:t>, dictionary.</w:t>
      </w:r>
    </w:p>
    <w:p w14:paraId="1A28C77E" w14:textId="77777777" w:rsidR="001D6079" w:rsidRPr="0040482C" w:rsidRDefault="001D6079" w:rsidP="0040482C">
      <w:pPr>
        <w:pStyle w:val="aDef"/>
        <w:keepNext/>
      </w:pPr>
      <w:r w:rsidRPr="0040482C">
        <w:rPr>
          <w:rStyle w:val="charBoldItals"/>
        </w:rPr>
        <w:t>passenger vehicle</w:t>
      </w:r>
      <w:r w:rsidRPr="0040482C">
        <w:t xml:space="preserve"> means a motor vehicle built mainly to carry people but does not include the following:</w:t>
      </w:r>
    </w:p>
    <w:p w14:paraId="2979FA1A" w14:textId="77777777" w:rsidR="001D6079" w:rsidRPr="0040482C" w:rsidRDefault="0040482C" w:rsidP="0040482C">
      <w:pPr>
        <w:pStyle w:val="aDefpara"/>
        <w:keepNext/>
      </w:pPr>
      <w:r>
        <w:tab/>
      </w:r>
      <w:r w:rsidRPr="0040482C">
        <w:t>(a)</w:t>
      </w:r>
      <w:r w:rsidRPr="0040482C">
        <w:tab/>
      </w:r>
      <w:r w:rsidR="001D6079" w:rsidRPr="0040482C">
        <w:t>an ambulance;</w:t>
      </w:r>
    </w:p>
    <w:p w14:paraId="477C7C4E" w14:textId="77777777" w:rsidR="001D6079" w:rsidRPr="0040482C" w:rsidRDefault="0040482C" w:rsidP="0040482C">
      <w:pPr>
        <w:pStyle w:val="aDefpara"/>
        <w:keepNext/>
      </w:pPr>
      <w:r>
        <w:tab/>
      </w:r>
      <w:r w:rsidRPr="0040482C">
        <w:t>(b)</w:t>
      </w:r>
      <w:r w:rsidRPr="0040482C">
        <w:tab/>
      </w:r>
      <w:r w:rsidR="001D6079" w:rsidRPr="0040482C">
        <w:t>a bus;</w:t>
      </w:r>
    </w:p>
    <w:p w14:paraId="0DB99368" w14:textId="77777777" w:rsidR="001D6079" w:rsidRPr="0040482C" w:rsidRDefault="0040482C" w:rsidP="0040482C">
      <w:pPr>
        <w:pStyle w:val="aDefpara"/>
        <w:keepNext/>
      </w:pPr>
      <w:r>
        <w:tab/>
      </w:r>
      <w:r w:rsidRPr="0040482C">
        <w:t>(c)</w:t>
      </w:r>
      <w:r w:rsidRPr="0040482C">
        <w:tab/>
      </w:r>
      <w:r w:rsidR="001D6079" w:rsidRPr="0040482C">
        <w:t>a demand responsive service vehicle;</w:t>
      </w:r>
    </w:p>
    <w:p w14:paraId="2358B2CE" w14:textId="77777777" w:rsidR="001D6079" w:rsidRPr="0040482C" w:rsidRDefault="0040482C" w:rsidP="0040482C">
      <w:pPr>
        <w:pStyle w:val="aDefpara"/>
        <w:keepNext/>
      </w:pPr>
      <w:r>
        <w:tab/>
      </w:r>
      <w:r w:rsidRPr="0040482C">
        <w:t>(d)</w:t>
      </w:r>
      <w:r w:rsidRPr="0040482C">
        <w:tab/>
      </w:r>
      <w:r w:rsidR="001D6079" w:rsidRPr="0040482C">
        <w:t>a drive-yourself vehicle;</w:t>
      </w:r>
    </w:p>
    <w:p w14:paraId="1CD06141" w14:textId="77777777" w:rsidR="001D6079" w:rsidRPr="0040482C" w:rsidRDefault="0040482C" w:rsidP="0040482C">
      <w:pPr>
        <w:pStyle w:val="aDefpara"/>
        <w:keepNext/>
      </w:pPr>
      <w:r>
        <w:tab/>
      </w:r>
      <w:r w:rsidRPr="0040482C">
        <w:t>(e)</w:t>
      </w:r>
      <w:r w:rsidRPr="0040482C">
        <w:tab/>
      </w:r>
      <w:r w:rsidR="001D6079" w:rsidRPr="0040482C">
        <w:t>a motorcycle;</w:t>
      </w:r>
    </w:p>
    <w:p w14:paraId="012FBAFB" w14:textId="77777777" w:rsidR="001D6079" w:rsidRPr="0040482C" w:rsidRDefault="0040482C" w:rsidP="0040482C">
      <w:pPr>
        <w:pStyle w:val="aDefpara"/>
        <w:keepNext/>
      </w:pPr>
      <w:r>
        <w:tab/>
      </w:r>
      <w:r w:rsidRPr="0040482C">
        <w:t>(f)</w:t>
      </w:r>
      <w:r w:rsidRPr="0040482C">
        <w:tab/>
      </w:r>
      <w:r w:rsidR="001D6079" w:rsidRPr="0040482C">
        <w:t>a police vehicle;</w:t>
      </w:r>
    </w:p>
    <w:p w14:paraId="1F24E3C9" w14:textId="77777777" w:rsidR="001D6079" w:rsidRPr="0040482C" w:rsidRDefault="0040482C" w:rsidP="0040482C">
      <w:pPr>
        <w:pStyle w:val="aDefpara"/>
        <w:keepNext/>
      </w:pPr>
      <w:r>
        <w:tab/>
      </w:r>
      <w:r w:rsidRPr="0040482C">
        <w:t>(g)</w:t>
      </w:r>
      <w:r w:rsidRPr="0040482C">
        <w:tab/>
      </w:r>
      <w:r w:rsidR="001D6079" w:rsidRPr="0040482C">
        <w:t>a private hire car;</w:t>
      </w:r>
    </w:p>
    <w:p w14:paraId="65435D20" w14:textId="77777777" w:rsidR="001D6079" w:rsidRPr="0040482C" w:rsidRDefault="0040482C" w:rsidP="0040482C">
      <w:pPr>
        <w:pStyle w:val="aDefpara"/>
        <w:keepNext/>
      </w:pPr>
      <w:r>
        <w:tab/>
      </w:r>
      <w:r w:rsidRPr="0040482C">
        <w:t>(h)</w:t>
      </w:r>
      <w:r w:rsidRPr="0040482C">
        <w:tab/>
      </w:r>
      <w:r w:rsidR="001D6079" w:rsidRPr="0040482C">
        <w:t>a rideshare vehicle;</w:t>
      </w:r>
    </w:p>
    <w:p w14:paraId="6458886D" w14:textId="77777777" w:rsidR="001D6079" w:rsidRPr="0040482C" w:rsidRDefault="0040482C" w:rsidP="0040482C">
      <w:pPr>
        <w:pStyle w:val="aDefpara"/>
        <w:keepNext/>
      </w:pPr>
      <w:r>
        <w:tab/>
      </w:r>
      <w:r w:rsidRPr="0040482C">
        <w:t>(i)</w:t>
      </w:r>
      <w:r w:rsidRPr="0040482C">
        <w:tab/>
      </w:r>
      <w:r w:rsidR="001D6079" w:rsidRPr="0040482C">
        <w:t>a personal share vehicle;</w:t>
      </w:r>
    </w:p>
    <w:p w14:paraId="3376A00E" w14:textId="77777777" w:rsidR="001D6079" w:rsidRPr="0040482C" w:rsidRDefault="0040482C" w:rsidP="0040482C">
      <w:pPr>
        <w:pStyle w:val="aDefpara"/>
        <w:keepNext/>
      </w:pPr>
      <w:r>
        <w:tab/>
      </w:r>
      <w:r w:rsidRPr="0040482C">
        <w:t>(j)</w:t>
      </w:r>
      <w:r w:rsidRPr="0040482C">
        <w:tab/>
      </w:r>
      <w:r w:rsidR="001D6079" w:rsidRPr="0040482C">
        <w:t>a taxi;</w:t>
      </w:r>
    </w:p>
    <w:p w14:paraId="68E7067C" w14:textId="77777777" w:rsidR="001D6079" w:rsidRPr="0040482C" w:rsidRDefault="0040482C" w:rsidP="0040482C">
      <w:pPr>
        <w:pStyle w:val="aDefpara"/>
      </w:pPr>
      <w:r>
        <w:tab/>
      </w:r>
      <w:r w:rsidRPr="0040482C">
        <w:t>(k)</w:t>
      </w:r>
      <w:r w:rsidRPr="0040482C">
        <w:tab/>
      </w:r>
      <w:r w:rsidR="001D6079" w:rsidRPr="0040482C">
        <w:t>a light rail vehicle.</w:t>
      </w:r>
    </w:p>
    <w:p w14:paraId="01F0B53E" w14:textId="77777777" w:rsidR="001D6079" w:rsidRPr="0040482C" w:rsidRDefault="001D6079" w:rsidP="0040482C">
      <w:pPr>
        <w:pStyle w:val="aDef"/>
        <w:keepNext/>
      </w:pPr>
      <w:r w:rsidRPr="0040482C">
        <w:rPr>
          <w:rStyle w:val="charBoldItals"/>
        </w:rPr>
        <w:lastRenderedPageBreak/>
        <w:t>personal share vehicle</w:t>
      </w:r>
      <w:r w:rsidRPr="0040482C">
        <w:t>—</w:t>
      </w:r>
    </w:p>
    <w:p w14:paraId="0A65B81C" w14:textId="77777777" w:rsidR="001D6079" w:rsidRPr="0040482C" w:rsidRDefault="0040482C" w:rsidP="0040482C">
      <w:pPr>
        <w:pStyle w:val="aDefpara"/>
        <w:keepNext/>
      </w:pPr>
      <w:r>
        <w:tab/>
      </w:r>
      <w:r w:rsidRPr="0040482C">
        <w:t>(a)</w:t>
      </w:r>
      <w:r w:rsidRPr="0040482C">
        <w:tab/>
      </w:r>
      <w:r w:rsidR="001D6079" w:rsidRPr="0040482C">
        <w:t>means a passenger vehicle, a goods vehicle with a GVM not over 4.5t or a motorcycle let for hire without the services of a driver; but</w:t>
      </w:r>
    </w:p>
    <w:p w14:paraId="7B54C092" w14:textId="77777777" w:rsidR="001D6079" w:rsidRPr="0040482C" w:rsidRDefault="0040482C" w:rsidP="0040482C">
      <w:pPr>
        <w:pStyle w:val="aDefpara"/>
      </w:pPr>
      <w:r>
        <w:tab/>
      </w:r>
      <w:r w:rsidRPr="0040482C">
        <w:t>(b)</w:t>
      </w:r>
      <w:r w:rsidRPr="0040482C">
        <w:tab/>
      </w:r>
      <w:r w:rsidR="001D6079" w:rsidRPr="0040482C">
        <w:t>does not include a vehicle let for hire by a car rental service.</w:t>
      </w:r>
    </w:p>
    <w:p w14:paraId="7D6C8CEC" w14:textId="6D8907B5" w:rsidR="001D6079" w:rsidRPr="0040482C" w:rsidRDefault="001D6079" w:rsidP="0040482C">
      <w:pPr>
        <w:pStyle w:val="aDef"/>
      </w:pPr>
      <w:r w:rsidRPr="0040482C">
        <w:rPr>
          <w:rStyle w:val="charBoldItals"/>
        </w:rPr>
        <w:t>police vehicle</w:t>
      </w:r>
      <w:r w:rsidRPr="0040482C">
        <w:t xml:space="preserve">—see the </w:t>
      </w:r>
      <w:hyperlink r:id="rId76" w:tooltip="SL2000-12" w:history="1">
        <w:r w:rsidR="00F21B7B" w:rsidRPr="00F21B7B">
          <w:rPr>
            <w:rStyle w:val="charCitHyperlinkItal"/>
          </w:rPr>
          <w:t>Road Transport (Vehicle Registration) Regulation 2000</w:t>
        </w:r>
      </w:hyperlink>
      <w:r w:rsidRPr="0040482C">
        <w:t>, dictionary.</w:t>
      </w:r>
    </w:p>
    <w:p w14:paraId="48674061" w14:textId="77777777" w:rsidR="001D6079" w:rsidRPr="0040482C" w:rsidRDefault="001D6079" w:rsidP="0040482C">
      <w:pPr>
        <w:pStyle w:val="aDef"/>
      </w:pPr>
      <w:r w:rsidRPr="0040482C">
        <w:rPr>
          <w:rStyle w:val="charBoldItals"/>
        </w:rPr>
        <w:t>primary producer’s tractor</w:t>
      </w:r>
      <w:r w:rsidRPr="0040482C">
        <w:t xml:space="preserve"> means a tractor used by a primary producer for the producer’s operations as a primary producer.</w:t>
      </w:r>
    </w:p>
    <w:p w14:paraId="3C1DB2D0" w14:textId="77777777" w:rsidR="001D6079" w:rsidRPr="0040482C" w:rsidRDefault="001D6079" w:rsidP="0040482C">
      <w:pPr>
        <w:pStyle w:val="aDef"/>
      </w:pPr>
      <w:r w:rsidRPr="0040482C">
        <w:rPr>
          <w:rStyle w:val="charBoldItals"/>
        </w:rPr>
        <w:t>private hire car</w:t>
      </w:r>
      <w:r w:rsidRPr="0040482C">
        <w:t xml:space="preserve"> means a hire car that is not a restricted hire car.</w:t>
      </w:r>
    </w:p>
    <w:p w14:paraId="5A61ACC7" w14:textId="4F31E0FE" w:rsidR="001D6079" w:rsidRPr="0040482C" w:rsidRDefault="001D6079" w:rsidP="0040482C">
      <w:pPr>
        <w:pStyle w:val="aDef"/>
      </w:pPr>
      <w:r w:rsidRPr="0040482C">
        <w:rPr>
          <w:rStyle w:val="charBoldItals"/>
        </w:rPr>
        <w:t>restricted hire car</w:t>
      </w:r>
      <w:r w:rsidRPr="0040482C">
        <w:t xml:space="preserve">—see the </w:t>
      </w:r>
      <w:hyperlink r:id="rId77" w:tooltip="A2001-62" w:history="1">
        <w:r w:rsidR="00F21B7B" w:rsidRPr="00F21B7B">
          <w:rPr>
            <w:rStyle w:val="charCitHyperlinkItal"/>
          </w:rPr>
          <w:t>Road Transport (Public Passenger Services) Act 2001</w:t>
        </w:r>
      </w:hyperlink>
      <w:r w:rsidRPr="0040482C">
        <w:t>, section 68.</w:t>
      </w:r>
    </w:p>
    <w:p w14:paraId="702E389D" w14:textId="2F8C8167" w:rsidR="001D6079" w:rsidRPr="0040482C" w:rsidRDefault="001D6079" w:rsidP="0040482C">
      <w:pPr>
        <w:pStyle w:val="aDef"/>
      </w:pPr>
      <w:r w:rsidRPr="0040482C">
        <w:rPr>
          <w:rStyle w:val="charBoldItals"/>
        </w:rPr>
        <w:t>rideshare vehicle</w:t>
      </w:r>
      <w:r w:rsidRPr="0040482C">
        <w:t xml:space="preserve">—see the </w:t>
      </w:r>
      <w:hyperlink r:id="rId78" w:tooltip="A2001-62" w:history="1">
        <w:r w:rsidR="00F21B7B" w:rsidRPr="00F21B7B">
          <w:rPr>
            <w:rStyle w:val="charCitHyperlinkItal"/>
          </w:rPr>
          <w:t>Road Transport (Public Passenger Services) Act 2001</w:t>
        </w:r>
      </w:hyperlink>
      <w:r w:rsidRPr="0040482C">
        <w:t>, section 60A.</w:t>
      </w:r>
    </w:p>
    <w:p w14:paraId="383ED593" w14:textId="737D0948" w:rsidR="001D6079" w:rsidRPr="0040482C" w:rsidRDefault="001D6079" w:rsidP="0040482C">
      <w:pPr>
        <w:pStyle w:val="aDef"/>
      </w:pPr>
      <w:r w:rsidRPr="0040482C">
        <w:rPr>
          <w:rStyle w:val="charBoldItals"/>
        </w:rPr>
        <w:t>tractor</w:t>
      </w:r>
      <w:r w:rsidRPr="0040482C">
        <w:t xml:space="preserve">—see the </w:t>
      </w:r>
      <w:hyperlink r:id="rId79" w:tooltip="SL2000-12" w:history="1">
        <w:r w:rsidR="00F21B7B">
          <w:rPr>
            <w:rStyle w:val="charCitHyperlinkItal"/>
          </w:rPr>
          <w:t>Road Transport (Vehicle Registration) Regulation 2000</w:t>
        </w:r>
      </w:hyperlink>
      <w:r w:rsidRPr="0040482C">
        <w:t>, dictionary.</w:t>
      </w:r>
    </w:p>
    <w:p w14:paraId="5D9429AA" w14:textId="77777777" w:rsidR="001D6079" w:rsidRPr="0040482C" w:rsidRDefault="001D6079" w:rsidP="0040482C">
      <w:pPr>
        <w:pStyle w:val="aDef"/>
      </w:pPr>
      <w:r w:rsidRPr="0040482C">
        <w:rPr>
          <w:rStyle w:val="charBoldItals"/>
        </w:rPr>
        <w:t>undertaker’s vehicle</w:t>
      </w:r>
      <w:r w:rsidRPr="0040482C">
        <w:t xml:space="preserve"> means a motor vehicle used only as an undertaker’s hearse.</w:t>
      </w:r>
    </w:p>
    <w:p w14:paraId="180F409E" w14:textId="2A396009" w:rsidR="001D6079" w:rsidRPr="0040482C" w:rsidRDefault="001D6079" w:rsidP="0040482C">
      <w:pPr>
        <w:pStyle w:val="aDef"/>
      </w:pPr>
      <w:r w:rsidRPr="0040482C">
        <w:rPr>
          <w:rStyle w:val="charBoldItals"/>
        </w:rPr>
        <w:t>veteran vehicle</w:t>
      </w:r>
      <w:r w:rsidRPr="0040482C">
        <w:t xml:space="preserve">—see the </w:t>
      </w:r>
      <w:hyperlink r:id="rId80" w:tooltip="A1999-7" w:history="1">
        <w:r w:rsidR="00F21B7B" w:rsidRPr="00F21B7B">
          <w:rPr>
            <w:rStyle w:val="charCitHyperlinkItal"/>
          </w:rPr>
          <w:t>Duties Act 1999</w:t>
        </w:r>
      </w:hyperlink>
      <w:r w:rsidRPr="0040482C">
        <w:t>, section 217 (3).</w:t>
      </w:r>
    </w:p>
    <w:p w14:paraId="1C2EA96B" w14:textId="2C0B9E1D" w:rsidR="001D6079" w:rsidRPr="0040482C" w:rsidRDefault="001D6079" w:rsidP="0040482C">
      <w:pPr>
        <w:pStyle w:val="aDef"/>
      </w:pPr>
      <w:r w:rsidRPr="0040482C">
        <w:rPr>
          <w:rStyle w:val="charBoldItals"/>
        </w:rPr>
        <w:t>vintage vehicle</w:t>
      </w:r>
      <w:r w:rsidRPr="0040482C">
        <w:t xml:space="preserve">—see the </w:t>
      </w:r>
      <w:hyperlink r:id="rId81" w:tooltip="A1999-7" w:history="1">
        <w:r w:rsidR="00F21B7B" w:rsidRPr="00F21B7B">
          <w:rPr>
            <w:rStyle w:val="charCitHyperlinkItal"/>
          </w:rPr>
          <w:t>Duties Act 1999</w:t>
        </w:r>
      </w:hyperlink>
      <w:r w:rsidRPr="0040482C">
        <w:t>, section 217 (3).</w:t>
      </w:r>
    </w:p>
    <w:p w14:paraId="434BC100" w14:textId="77777777" w:rsidR="0008376A" w:rsidRDefault="0008376A">
      <w:pPr>
        <w:pStyle w:val="03Schedule"/>
        <w:sectPr w:rsidR="0008376A">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cols w:space="720"/>
        </w:sectPr>
      </w:pPr>
    </w:p>
    <w:p w14:paraId="65B16448" w14:textId="77777777" w:rsidR="001D6079" w:rsidRPr="0040482C" w:rsidRDefault="001D6079" w:rsidP="001D6079">
      <w:pPr>
        <w:pStyle w:val="PageBreak"/>
      </w:pPr>
      <w:r w:rsidRPr="0040482C">
        <w:br w:type="page"/>
      </w:r>
    </w:p>
    <w:p w14:paraId="61611717" w14:textId="77777777" w:rsidR="001D6079" w:rsidRPr="009F0332" w:rsidRDefault="0040482C" w:rsidP="0040482C">
      <w:pPr>
        <w:pStyle w:val="Sched-Part"/>
      </w:pPr>
      <w:bookmarkStart w:id="51" w:name="_Toc153373720"/>
      <w:r w:rsidRPr="009F0332">
        <w:rPr>
          <w:rStyle w:val="CharPartNo"/>
        </w:rPr>
        <w:lastRenderedPageBreak/>
        <w:t>Part 1.2</w:t>
      </w:r>
      <w:r w:rsidRPr="0040482C">
        <w:tab/>
      </w:r>
      <w:r w:rsidR="00BA3C17" w:rsidRPr="009F0332">
        <w:rPr>
          <w:rStyle w:val="CharPartText"/>
        </w:rPr>
        <w:t>MAI</w:t>
      </w:r>
      <w:r w:rsidR="001D6079" w:rsidRPr="009F0332">
        <w:rPr>
          <w:rStyle w:val="CharPartText"/>
        </w:rPr>
        <w:t xml:space="preserve"> premium classes</w:t>
      </w:r>
      <w:bookmarkEnd w:id="51"/>
    </w:p>
    <w:p w14:paraId="64BFADA3" w14:textId="77777777" w:rsidR="001D6079" w:rsidRPr="0040482C" w:rsidRDefault="001D6079" w:rsidP="00001F93"/>
    <w:tbl>
      <w:tblPr>
        <w:tblW w:w="77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54"/>
        <w:gridCol w:w="2268"/>
        <w:gridCol w:w="1865"/>
        <w:gridCol w:w="1276"/>
      </w:tblGrid>
      <w:tr w:rsidR="001D6079" w:rsidRPr="0040482C" w14:paraId="666B228D" w14:textId="77777777" w:rsidTr="001D6079">
        <w:trPr>
          <w:cantSplit/>
          <w:tblHeader/>
        </w:trPr>
        <w:tc>
          <w:tcPr>
            <w:tcW w:w="1200" w:type="dxa"/>
            <w:tcBorders>
              <w:bottom w:val="single" w:sz="4" w:space="0" w:color="auto"/>
            </w:tcBorders>
          </w:tcPr>
          <w:p w14:paraId="28752FB7" w14:textId="77777777" w:rsidR="001D6079" w:rsidRPr="0040482C" w:rsidRDefault="001D6079" w:rsidP="001D6079">
            <w:pPr>
              <w:pStyle w:val="TableColHd"/>
            </w:pPr>
            <w:r w:rsidRPr="0040482C">
              <w:t>column 1</w:t>
            </w:r>
          </w:p>
          <w:p w14:paraId="32B44FBB" w14:textId="77777777" w:rsidR="001D6079" w:rsidRPr="0040482C" w:rsidRDefault="001D6079" w:rsidP="001D6079">
            <w:pPr>
              <w:pStyle w:val="TableColHd"/>
            </w:pPr>
            <w:r w:rsidRPr="0040482C">
              <w:t>item</w:t>
            </w:r>
          </w:p>
        </w:tc>
        <w:tc>
          <w:tcPr>
            <w:tcW w:w="1154" w:type="dxa"/>
            <w:tcBorders>
              <w:bottom w:val="single" w:sz="4" w:space="0" w:color="auto"/>
            </w:tcBorders>
          </w:tcPr>
          <w:p w14:paraId="4A638104" w14:textId="77777777" w:rsidR="001D6079" w:rsidRPr="0040482C" w:rsidRDefault="001D6079" w:rsidP="001D6079">
            <w:pPr>
              <w:pStyle w:val="TableColHd"/>
            </w:pPr>
            <w:r w:rsidRPr="0040482C">
              <w:t>column 2</w:t>
            </w:r>
          </w:p>
          <w:p w14:paraId="66594640" w14:textId="77777777" w:rsidR="001D6079" w:rsidRPr="0040482C" w:rsidRDefault="001D6079" w:rsidP="001D6079">
            <w:pPr>
              <w:pStyle w:val="TableColHd"/>
            </w:pPr>
            <w:r w:rsidRPr="0040482C">
              <w:t>class number</w:t>
            </w:r>
          </w:p>
        </w:tc>
        <w:tc>
          <w:tcPr>
            <w:tcW w:w="2268" w:type="dxa"/>
            <w:tcBorders>
              <w:bottom w:val="single" w:sz="4" w:space="0" w:color="auto"/>
            </w:tcBorders>
          </w:tcPr>
          <w:p w14:paraId="09E8F040" w14:textId="77777777" w:rsidR="001D6079" w:rsidRPr="0040482C" w:rsidRDefault="001D6079" w:rsidP="001D6079">
            <w:pPr>
              <w:pStyle w:val="TableColHd"/>
            </w:pPr>
            <w:r w:rsidRPr="0040482C">
              <w:t>column 3</w:t>
            </w:r>
          </w:p>
          <w:p w14:paraId="48558969" w14:textId="77777777" w:rsidR="001D6079" w:rsidRPr="0040482C" w:rsidRDefault="001D6079" w:rsidP="001D6079">
            <w:pPr>
              <w:pStyle w:val="TableColHd"/>
            </w:pPr>
            <w:r w:rsidRPr="0040482C">
              <w:t>kind of motor vehicle or trader’s plate</w:t>
            </w:r>
          </w:p>
        </w:tc>
        <w:tc>
          <w:tcPr>
            <w:tcW w:w="1865" w:type="dxa"/>
            <w:tcBorders>
              <w:bottom w:val="single" w:sz="4" w:space="0" w:color="auto"/>
            </w:tcBorders>
          </w:tcPr>
          <w:p w14:paraId="148569E6" w14:textId="77777777" w:rsidR="001D6079" w:rsidRPr="0040482C" w:rsidRDefault="001D6079" w:rsidP="001D6079">
            <w:pPr>
              <w:pStyle w:val="TableColHd"/>
            </w:pPr>
            <w:r w:rsidRPr="0040482C">
              <w:t>column 4</w:t>
            </w:r>
          </w:p>
          <w:p w14:paraId="5D3C4D7B" w14:textId="77777777" w:rsidR="001D6079" w:rsidRPr="0040482C" w:rsidRDefault="001D6079" w:rsidP="001D6079">
            <w:pPr>
              <w:pStyle w:val="TableColHd"/>
            </w:pPr>
            <w:r w:rsidRPr="0040482C">
              <w:t>case (if any)</w:t>
            </w:r>
          </w:p>
          <w:p w14:paraId="6D7558F9" w14:textId="77777777" w:rsidR="001D6079" w:rsidRPr="0040482C" w:rsidRDefault="001D6079" w:rsidP="001D6079">
            <w:pPr>
              <w:pStyle w:val="TableColHd"/>
            </w:pPr>
          </w:p>
        </w:tc>
        <w:tc>
          <w:tcPr>
            <w:tcW w:w="1276" w:type="dxa"/>
            <w:tcBorders>
              <w:bottom w:val="single" w:sz="4" w:space="0" w:color="auto"/>
            </w:tcBorders>
          </w:tcPr>
          <w:p w14:paraId="49E33ADF" w14:textId="77777777" w:rsidR="001D6079" w:rsidRPr="0040482C" w:rsidRDefault="001D6079" w:rsidP="001D6079">
            <w:pPr>
              <w:pStyle w:val="TableColHd"/>
            </w:pPr>
            <w:r w:rsidRPr="0040482C">
              <w:t>column 5</w:t>
            </w:r>
          </w:p>
          <w:p w14:paraId="2D5664F0" w14:textId="77777777" w:rsidR="001D6079" w:rsidRPr="0040482C" w:rsidRDefault="001D6079" w:rsidP="001D6079">
            <w:pPr>
              <w:pStyle w:val="TableColHd"/>
            </w:pPr>
            <w:r w:rsidRPr="0040482C">
              <w:t>input tax credit entitlement</w:t>
            </w:r>
          </w:p>
        </w:tc>
      </w:tr>
      <w:tr w:rsidR="001D6079" w:rsidRPr="0040482C" w14:paraId="2D5B5093" w14:textId="77777777" w:rsidTr="001D6079">
        <w:trPr>
          <w:cantSplit/>
        </w:trPr>
        <w:tc>
          <w:tcPr>
            <w:tcW w:w="1200" w:type="dxa"/>
            <w:tcBorders>
              <w:top w:val="single" w:sz="4" w:space="0" w:color="auto"/>
            </w:tcBorders>
          </w:tcPr>
          <w:p w14:paraId="3719737C" w14:textId="77777777" w:rsidR="001D6079" w:rsidRPr="0040482C" w:rsidRDefault="001D6079" w:rsidP="001D6079">
            <w:pPr>
              <w:pStyle w:val="TableNumbered"/>
              <w:numPr>
                <w:ilvl w:val="0"/>
                <w:numId w:val="0"/>
              </w:numPr>
              <w:ind w:left="360" w:hanging="360"/>
              <w:jc w:val="both"/>
            </w:pPr>
            <w:r w:rsidRPr="0040482C">
              <w:t xml:space="preserve">1 </w:t>
            </w:r>
          </w:p>
        </w:tc>
        <w:tc>
          <w:tcPr>
            <w:tcW w:w="1154" w:type="dxa"/>
            <w:tcBorders>
              <w:top w:val="single" w:sz="4" w:space="0" w:color="auto"/>
            </w:tcBorders>
          </w:tcPr>
          <w:p w14:paraId="667023FA" w14:textId="77777777" w:rsidR="001D6079" w:rsidRPr="0040482C" w:rsidRDefault="001D6079" w:rsidP="001D6079">
            <w:pPr>
              <w:pStyle w:val="TableText10"/>
            </w:pPr>
            <w:r w:rsidRPr="0040482C">
              <w:t>1</w:t>
            </w:r>
          </w:p>
        </w:tc>
        <w:tc>
          <w:tcPr>
            <w:tcW w:w="2268" w:type="dxa"/>
            <w:tcBorders>
              <w:top w:val="single" w:sz="4" w:space="0" w:color="auto"/>
            </w:tcBorders>
          </w:tcPr>
          <w:p w14:paraId="7721160B" w14:textId="77777777" w:rsidR="001D6079" w:rsidRPr="0040482C" w:rsidRDefault="001D6079" w:rsidP="001D6079">
            <w:pPr>
              <w:pStyle w:val="TableText10"/>
            </w:pPr>
            <w:r w:rsidRPr="0040482C">
              <w:t>passenger vehicle</w:t>
            </w:r>
          </w:p>
        </w:tc>
        <w:tc>
          <w:tcPr>
            <w:tcW w:w="1865" w:type="dxa"/>
            <w:tcBorders>
              <w:top w:val="single" w:sz="4" w:space="0" w:color="auto"/>
            </w:tcBorders>
          </w:tcPr>
          <w:p w14:paraId="4B57973C" w14:textId="77777777" w:rsidR="001D6079" w:rsidRPr="0040482C" w:rsidRDefault="001D6079" w:rsidP="001D6079">
            <w:pPr>
              <w:pStyle w:val="TableText10"/>
            </w:pPr>
          </w:p>
        </w:tc>
        <w:tc>
          <w:tcPr>
            <w:tcW w:w="1276" w:type="dxa"/>
            <w:tcBorders>
              <w:top w:val="single" w:sz="4" w:space="0" w:color="auto"/>
            </w:tcBorders>
          </w:tcPr>
          <w:p w14:paraId="7A51C0B8" w14:textId="77777777" w:rsidR="001D6079" w:rsidRPr="0040482C" w:rsidRDefault="001D6079" w:rsidP="001D6079">
            <w:pPr>
              <w:pStyle w:val="TableText10"/>
            </w:pPr>
            <w:r w:rsidRPr="0040482C">
              <w:t>not entitled</w:t>
            </w:r>
          </w:p>
        </w:tc>
      </w:tr>
      <w:tr w:rsidR="001D6079" w:rsidRPr="0040482C" w14:paraId="3593A522" w14:textId="77777777" w:rsidTr="001D6079">
        <w:trPr>
          <w:cantSplit/>
        </w:trPr>
        <w:tc>
          <w:tcPr>
            <w:tcW w:w="1200" w:type="dxa"/>
          </w:tcPr>
          <w:p w14:paraId="232EE973" w14:textId="77777777" w:rsidR="001D6079" w:rsidRPr="0040482C" w:rsidRDefault="001D6079" w:rsidP="001D6079">
            <w:pPr>
              <w:pStyle w:val="TableNumbered"/>
              <w:numPr>
                <w:ilvl w:val="0"/>
                <w:numId w:val="0"/>
              </w:numPr>
              <w:ind w:left="360" w:hanging="360"/>
            </w:pPr>
            <w:r w:rsidRPr="0040482C">
              <w:t xml:space="preserve">2 </w:t>
            </w:r>
          </w:p>
        </w:tc>
        <w:tc>
          <w:tcPr>
            <w:tcW w:w="1154" w:type="dxa"/>
          </w:tcPr>
          <w:p w14:paraId="59BEB6A5" w14:textId="77777777" w:rsidR="001D6079" w:rsidRPr="0040482C" w:rsidRDefault="001D6079" w:rsidP="001D6079">
            <w:pPr>
              <w:pStyle w:val="TableText10"/>
            </w:pPr>
            <w:r w:rsidRPr="0040482C">
              <w:t>1</w:t>
            </w:r>
          </w:p>
        </w:tc>
        <w:tc>
          <w:tcPr>
            <w:tcW w:w="2268" w:type="dxa"/>
          </w:tcPr>
          <w:p w14:paraId="0471B7EE" w14:textId="77777777" w:rsidR="001D6079" w:rsidRPr="0040482C" w:rsidRDefault="001D6079" w:rsidP="001D6079">
            <w:pPr>
              <w:pStyle w:val="TableText10"/>
            </w:pPr>
            <w:r w:rsidRPr="0040482C">
              <w:t>passenger vehicle</w:t>
            </w:r>
          </w:p>
        </w:tc>
        <w:tc>
          <w:tcPr>
            <w:tcW w:w="1865" w:type="dxa"/>
          </w:tcPr>
          <w:p w14:paraId="19A9CCBA" w14:textId="77777777" w:rsidR="001D6079" w:rsidRPr="0040482C" w:rsidRDefault="001D6079" w:rsidP="001D6079">
            <w:pPr>
              <w:pStyle w:val="TableText10"/>
            </w:pPr>
          </w:p>
        </w:tc>
        <w:tc>
          <w:tcPr>
            <w:tcW w:w="1276" w:type="dxa"/>
          </w:tcPr>
          <w:p w14:paraId="221FB5F1" w14:textId="77777777" w:rsidR="001D6079" w:rsidRPr="0040482C" w:rsidRDefault="001D6079" w:rsidP="001D6079">
            <w:pPr>
              <w:pStyle w:val="TableText10"/>
            </w:pPr>
            <w:r w:rsidRPr="0040482C">
              <w:t>entitled</w:t>
            </w:r>
          </w:p>
        </w:tc>
      </w:tr>
      <w:tr w:rsidR="001D6079" w:rsidRPr="0040482C" w14:paraId="59306251" w14:textId="77777777" w:rsidTr="001D6079">
        <w:trPr>
          <w:cantSplit/>
        </w:trPr>
        <w:tc>
          <w:tcPr>
            <w:tcW w:w="1200" w:type="dxa"/>
          </w:tcPr>
          <w:p w14:paraId="7C32E73C" w14:textId="77777777" w:rsidR="001D6079" w:rsidRPr="0040482C" w:rsidRDefault="001D6079" w:rsidP="001D6079">
            <w:pPr>
              <w:pStyle w:val="TableNumbered"/>
              <w:numPr>
                <w:ilvl w:val="0"/>
                <w:numId w:val="0"/>
              </w:numPr>
              <w:ind w:left="360" w:hanging="360"/>
            </w:pPr>
            <w:r w:rsidRPr="0040482C">
              <w:t xml:space="preserve">3 </w:t>
            </w:r>
          </w:p>
        </w:tc>
        <w:tc>
          <w:tcPr>
            <w:tcW w:w="1154" w:type="dxa"/>
          </w:tcPr>
          <w:p w14:paraId="47DDD97D" w14:textId="77777777" w:rsidR="001D6079" w:rsidRPr="0040482C" w:rsidRDefault="001D6079" w:rsidP="001D6079">
            <w:pPr>
              <w:pStyle w:val="TableText10"/>
            </w:pPr>
            <w:r w:rsidRPr="0040482C">
              <w:t>3</w:t>
            </w:r>
          </w:p>
        </w:tc>
        <w:tc>
          <w:tcPr>
            <w:tcW w:w="2268" w:type="dxa"/>
          </w:tcPr>
          <w:p w14:paraId="24ED7172" w14:textId="77777777" w:rsidR="001D6079" w:rsidRPr="0040482C" w:rsidRDefault="001D6079" w:rsidP="001D6079">
            <w:pPr>
              <w:pStyle w:val="TableText10"/>
            </w:pPr>
            <w:r w:rsidRPr="0040482C">
              <w:t>goods vehicle</w:t>
            </w:r>
          </w:p>
        </w:tc>
        <w:tc>
          <w:tcPr>
            <w:tcW w:w="1865" w:type="dxa"/>
          </w:tcPr>
          <w:p w14:paraId="4425DE82" w14:textId="77777777" w:rsidR="001D6079" w:rsidRPr="0040482C" w:rsidRDefault="001D6079" w:rsidP="001D6079">
            <w:pPr>
              <w:pStyle w:val="TableText10"/>
            </w:pPr>
            <w:r w:rsidRPr="0040482C">
              <w:t>GVM not over 4.5t</w:t>
            </w:r>
          </w:p>
        </w:tc>
        <w:tc>
          <w:tcPr>
            <w:tcW w:w="1276" w:type="dxa"/>
          </w:tcPr>
          <w:p w14:paraId="7BD5EEA0" w14:textId="77777777" w:rsidR="001D6079" w:rsidRPr="0040482C" w:rsidRDefault="001D6079" w:rsidP="001D6079">
            <w:pPr>
              <w:pStyle w:val="TableText10"/>
            </w:pPr>
            <w:r w:rsidRPr="0040482C">
              <w:t>not entitled</w:t>
            </w:r>
          </w:p>
        </w:tc>
      </w:tr>
      <w:tr w:rsidR="001D6079" w:rsidRPr="0040482C" w14:paraId="204DE391" w14:textId="77777777" w:rsidTr="001D6079">
        <w:trPr>
          <w:cantSplit/>
        </w:trPr>
        <w:tc>
          <w:tcPr>
            <w:tcW w:w="1200" w:type="dxa"/>
          </w:tcPr>
          <w:p w14:paraId="3038905F" w14:textId="77777777" w:rsidR="001D6079" w:rsidRPr="0040482C" w:rsidRDefault="001D6079" w:rsidP="001D6079">
            <w:pPr>
              <w:pStyle w:val="TableNumbered"/>
              <w:numPr>
                <w:ilvl w:val="0"/>
                <w:numId w:val="0"/>
              </w:numPr>
              <w:ind w:left="360" w:hanging="360"/>
            </w:pPr>
            <w:r w:rsidRPr="0040482C">
              <w:t xml:space="preserve">4 </w:t>
            </w:r>
          </w:p>
        </w:tc>
        <w:tc>
          <w:tcPr>
            <w:tcW w:w="1154" w:type="dxa"/>
          </w:tcPr>
          <w:p w14:paraId="05076947" w14:textId="77777777" w:rsidR="001D6079" w:rsidRPr="0040482C" w:rsidRDefault="001D6079" w:rsidP="001D6079">
            <w:pPr>
              <w:pStyle w:val="TableText10"/>
            </w:pPr>
            <w:r w:rsidRPr="0040482C">
              <w:t>3</w:t>
            </w:r>
          </w:p>
        </w:tc>
        <w:tc>
          <w:tcPr>
            <w:tcW w:w="2268" w:type="dxa"/>
          </w:tcPr>
          <w:p w14:paraId="085E7754" w14:textId="77777777" w:rsidR="001D6079" w:rsidRPr="0040482C" w:rsidRDefault="001D6079" w:rsidP="001D6079">
            <w:pPr>
              <w:pStyle w:val="TableText10"/>
            </w:pPr>
            <w:r w:rsidRPr="0040482C">
              <w:t>goods vehicle</w:t>
            </w:r>
          </w:p>
        </w:tc>
        <w:tc>
          <w:tcPr>
            <w:tcW w:w="1865" w:type="dxa"/>
          </w:tcPr>
          <w:p w14:paraId="2B147D46" w14:textId="77777777" w:rsidR="001D6079" w:rsidRPr="0040482C" w:rsidRDefault="001D6079" w:rsidP="001D6079">
            <w:pPr>
              <w:pStyle w:val="TableText10"/>
            </w:pPr>
            <w:r w:rsidRPr="0040482C">
              <w:t>GVM not over 4.5t</w:t>
            </w:r>
          </w:p>
        </w:tc>
        <w:tc>
          <w:tcPr>
            <w:tcW w:w="1276" w:type="dxa"/>
          </w:tcPr>
          <w:p w14:paraId="4C16C344" w14:textId="77777777" w:rsidR="001D6079" w:rsidRPr="0040482C" w:rsidRDefault="001D6079" w:rsidP="001D6079">
            <w:pPr>
              <w:pStyle w:val="TableText10"/>
            </w:pPr>
            <w:r w:rsidRPr="0040482C">
              <w:t>entitled</w:t>
            </w:r>
          </w:p>
        </w:tc>
      </w:tr>
      <w:tr w:rsidR="001D6079" w:rsidRPr="0040482C" w14:paraId="071642FE" w14:textId="77777777" w:rsidTr="001D6079">
        <w:trPr>
          <w:cantSplit/>
        </w:trPr>
        <w:tc>
          <w:tcPr>
            <w:tcW w:w="1200" w:type="dxa"/>
          </w:tcPr>
          <w:p w14:paraId="671FFFAD" w14:textId="77777777" w:rsidR="001D6079" w:rsidRPr="0040482C" w:rsidRDefault="001D6079" w:rsidP="001D6079">
            <w:pPr>
              <w:pStyle w:val="TableNumbered"/>
              <w:numPr>
                <w:ilvl w:val="0"/>
                <w:numId w:val="0"/>
              </w:numPr>
              <w:ind w:left="360" w:hanging="360"/>
            </w:pPr>
            <w:r w:rsidRPr="0040482C">
              <w:t xml:space="preserve">5 </w:t>
            </w:r>
          </w:p>
        </w:tc>
        <w:tc>
          <w:tcPr>
            <w:tcW w:w="1154" w:type="dxa"/>
          </w:tcPr>
          <w:p w14:paraId="51A06D0F" w14:textId="77777777" w:rsidR="001D6079" w:rsidRPr="0040482C" w:rsidRDefault="001D6079" w:rsidP="001D6079">
            <w:pPr>
              <w:pStyle w:val="TableText10"/>
            </w:pPr>
            <w:r w:rsidRPr="0040482C">
              <w:t>4</w:t>
            </w:r>
          </w:p>
        </w:tc>
        <w:tc>
          <w:tcPr>
            <w:tcW w:w="2268" w:type="dxa"/>
          </w:tcPr>
          <w:p w14:paraId="1284B0CB" w14:textId="77777777" w:rsidR="001D6079" w:rsidRPr="0040482C" w:rsidRDefault="001D6079" w:rsidP="001D6079">
            <w:pPr>
              <w:pStyle w:val="TableText10"/>
            </w:pPr>
            <w:r w:rsidRPr="0040482C">
              <w:t>goods vehicle</w:t>
            </w:r>
          </w:p>
        </w:tc>
        <w:tc>
          <w:tcPr>
            <w:tcW w:w="1865" w:type="dxa"/>
          </w:tcPr>
          <w:p w14:paraId="077F1525" w14:textId="77777777" w:rsidR="001D6079" w:rsidRPr="0040482C" w:rsidRDefault="001D6079" w:rsidP="001D6079">
            <w:pPr>
              <w:pStyle w:val="TableText10"/>
            </w:pPr>
            <w:r w:rsidRPr="0040482C">
              <w:t>GVM over 4.5t</w:t>
            </w:r>
          </w:p>
        </w:tc>
        <w:tc>
          <w:tcPr>
            <w:tcW w:w="1276" w:type="dxa"/>
          </w:tcPr>
          <w:p w14:paraId="315AE52A" w14:textId="77777777" w:rsidR="001D6079" w:rsidRPr="0040482C" w:rsidRDefault="001D6079" w:rsidP="001D6079">
            <w:pPr>
              <w:pStyle w:val="TableText10"/>
            </w:pPr>
            <w:r w:rsidRPr="0040482C">
              <w:t>not entitled</w:t>
            </w:r>
          </w:p>
        </w:tc>
      </w:tr>
      <w:tr w:rsidR="001D6079" w:rsidRPr="0040482C" w14:paraId="16DFF9C9" w14:textId="77777777" w:rsidTr="001D6079">
        <w:trPr>
          <w:cantSplit/>
        </w:trPr>
        <w:tc>
          <w:tcPr>
            <w:tcW w:w="1200" w:type="dxa"/>
          </w:tcPr>
          <w:p w14:paraId="7C14CFBB" w14:textId="77777777" w:rsidR="001D6079" w:rsidRPr="0040482C" w:rsidRDefault="001D6079" w:rsidP="001D6079">
            <w:pPr>
              <w:pStyle w:val="TableNumbered"/>
              <w:numPr>
                <w:ilvl w:val="0"/>
                <w:numId w:val="0"/>
              </w:numPr>
              <w:ind w:left="360" w:hanging="360"/>
            </w:pPr>
            <w:r w:rsidRPr="0040482C">
              <w:t xml:space="preserve">6 </w:t>
            </w:r>
          </w:p>
        </w:tc>
        <w:tc>
          <w:tcPr>
            <w:tcW w:w="1154" w:type="dxa"/>
          </w:tcPr>
          <w:p w14:paraId="45722162" w14:textId="77777777" w:rsidR="001D6079" w:rsidRPr="0040482C" w:rsidRDefault="001D6079" w:rsidP="001D6079">
            <w:pPr>
              <w:pStyle w:val="TableText10"/>
            </w:pPr>
            <w:r w:rsidRPr="0040482C">
              <w:t>4</w:t>
            </w:r>
          </w:p>
        </w:tc>
        <w:tc>
          <w:tcPr>
            <w:tcW w:w="2268" w:type="dxa"/>
          </w:tcPr>
          <w:p w14:paraId="46778E88" w14:textId="77777777" w:rsidR="001D6079" w:rsidRPr="0040482C" w:rsidRDefault="001D6079" w:rsidP="001D6079">
            <w:pPr>
              <w:pStyle w:val="TableText10"/>
            </w:pPr>
            <w:r w:rsidRPr="0040482C">
              <w:t>goods vehicle</w:t>
            </w:r>
          </w:p>
        </w:tc>
        <w:tc>
          <w:tcPr>
            <w:tcW w:w="1865" w:type="dxa"/>
          </w:tcPr>
          <w:p w14:paraId="73A3E0C1" w14:textId="77777777" w:rsidR="001D6079" w:rsidRPr="0040482C" w:rsidRDefault="001D6079" w:rsidP="001D6079">
            <w:pPr>
              <w:pStyle w:val="TableText10"/>
            </w:pPr>
            <w:r w:rsidRPr="0040482C">
              <w:t>GVM over 4.5t</w:t>
            </w:r>
          </w:p>
        </w:tc>
        <w:tc>
          <w:tcPr>
            <w:tcW w:w="1276" w:type="dxa"/>
          </w:tcPr>
          <w:p w14:paraId="70F234C9" w14:textId="77777777" w:rsidR="001D6079" w:rsidRPr="0040482C" w:rsidRDefault="001D6079" w:rsidP="001D6079">
            <w:pPr>
              <w:pStyle w:val="TableText10"/>
            </w:pPr>
            <w:r w:rsidRPr="0040482C">
              <w:t>entitled</w:t>
            </w:r>
          </w:p>
        </w:tc>
      </w:tr>
      <w:tr w:rsidR="001D6079" w:rsidRPr="0040482C" w14:paraId="2567A205" w14:textId="77777777" w:rsidTr="001D6079">
        <w:trPr>
          <w:cantSplit/>
        </w:trPr>
        <w:tc>
          <w:tcPr>
            <w:tcW w:w="1200" w:type="dxa"/>
          </w:tcPr>
          <w:p w14:paraId="297E43C0" w14:textId="77777777" w:rsidR="001D6079" w:rsidRPr="0040482C" w:rsidRDefault="001D6079" w:rsidP="001D6079">
            <w:pPr>
              <w:pStyle w:val="TableNumbered"/>
              <w:numPr>
                <w:ilvl w:val="0"/>
                <w:numId w:val="0"/>
              </w:numPr>
              <w:ind w:left="360" w:hanging="360"/>
            </w:pPr>
            <w:r w:rsidRPr="0040482C">
              <w:t xml:space="preserve">7 </w:t>
            </w:r>
          </w:p>
        </w:tc>
        <w:tc>
          <w:tcPr>
            <w:tcW w:w="1154" w:type="dxa"/>
          </w:tcPr>
          <w:p w14:paraId="6BF9EB46" w14:textId="77777777" w:rsidR="001D6079" w:rsidRPr="0040482C" w:rsidRDefault="001D6079" w:rsidP="001D6079">
            <w:pPr>
              <w:pStyle w:val="TableText10"/>
            </w:pPr>
            <w:r w:rsidRPr="0040482C">
              <w:t>5A</w:t>
            </w:r>
          </w:p>
        </w:tc>
        <w:tc>
          <w:tcPr>
            <w:tcW w:w="2268" w:type="dxa"/>
          </w:tcPr>
          <w:p w14:paraId="6DC3C40E" w14:textId="77777777" w:rsidR="001D6079" w:rsidRPr="0040482C" w:rsidRDefault="001D6079" w:rsidP="001D6079">
            <w:pPr>
              <w:pStyle w:val="TableText10"/>
            </w:pPr>
            <w:r w:rsidRPr="0040482C">
              <w:t>bus or demand responsive service vehicle</w:t>
            </w:r>
          </w:p>
        </w:tc>
        <w:tc>
          <w:tcPr>
            <w:tcW w:w="1865" w:type="dxa"/>
          </w:tcPr>
          <w:p w14:paraId="0A452F05" w14:textId="77777777" w:rsidR="001D6079" w:rsidRPr="0040482C" w:rsidRDefault="001D6079" w:rsidP="001D6079">
            <w:pPr>
              <w:pStyle w:val="TableText10"/>
            </w:pPr>
            <w:r w:rsidRPr="0040482C">
              <w:t>vehicle has seating for more than 16 adults (including driver)</w:t>
            </w:r>
          </w:p>
        </w:tc>
        <w:tc>
          <w:tcPr>
            <w:tcW w:w="1276" w:type="dxa"/>
          </w:tcPr>
          <w:p w14:paraId="1B2995E1" w14:textId="77777777" w:rsidR="001D6079" w:rsidRPr="0040482C" w:rsidRDefault="001D6079" w:rsidP="001D6079">
            <w:pPr>
              <w:pStyle w:val="TableText10"/>
            </w:pPr>
            <w:r w:rsidRPr="0040482C">
              <w:t>not entitled</w:t>
            </w:r>
          </w:p>
        </w:tc>
      </w:tr>
      <w:tr w:rsidR="001D6079" w:rsidRPr="0040482C" w14:paraId="0A05D691" w14:textId="77777777" w:rsidTr="001D6079">
        <w:trPr>
          <w:cantSplit/>
        </w:trPr>
        <w:tc>
          <w:tcPr>
            <w:tcW w:w="1200" w:type="dxa"/>
          </w:tcPr>
          <w:p w14:paraId="13BF6606" w14:textId="77777777" w:rsidR="001D6079" w:rsidRPr="0040482C" w:rsidRDefault="001D6079" w:rsidP="001D6079">
            <w:pPr>
              <w:pStyle w:val="TableNumbered"/>
              <w:numPr>
                <w:ilvl w:val="0"/>
                <w:numId w:val="0"/>
              </w:numPr>
              <w:ind w:left="360" w:hanging="360"/>
            </w:pPr>
            <w:r w:rsidRPr="0040482C">
              <w:t xml:space="preserve">8 </w:t>
            </w:r>
          </w:p>
        </w:tc>
        <w:tc>
          <w:tcPr>
            <w:tcW w:w="1154" w:type="dxa"/>
          </w:tcPr>
          <w:p w14:paraId="30B99D3E" w14:textId="77777777" w:rsidR="001D6079" w:rsidRPr="0040482C" w:rsidRDefault="001D6079" w:rsidP="001D6079">
            <w:pPr>
              <w:pStyle w:val="TableText10"/>
            </w:pPr>
            <w:r w:rsidRPr="0040482C">
              <w:t>5A</w:t>
            </w:r>
          </w:p>
        </w:tc>
        <w:tc>
          <w:tcPr>
            <w:tcW w:w="2268" w:type="dxa"/>
          </w:tcPr>
          <w:p w14:paraId="5BD21BAE" w14:textId="77777777" w:rsidR="001D6079" w:rsidRPr="0040482C" w:rsidRDefault="001D6079" w:rsidP="001D6079">
            <w:pPr>
              <w:pStyle w:val="TableText10"/>
            </w:pPr>
            <w:r w:rsidRPr="0040482C">
              <w:t>bus or demand responsive service vehicle</w:t>
            </w:r>
          </w:p>
        </w:tc>
        <w:tc>
          <w:tcPr>
            <w:tcW w:w="1865" w:type="dxa"/>
          </w:tcPr>
          <w:p w14:paraId="267CB8FB" w14:textId="77777777" w:rsidR="001D6079" w:rsidRPr="0040482C" w:rsidRDefault="001D6079" w:rsidP="001D6079">
            <w:pPr>
              <w:pStyle w:val="TableText10"/>
            </w:pPr>
            <w:r w:rsidRPr="0040482C">
              <w:t>vehicle has seating for more than 16 adults (including driver)</w:t>
            </w:r>
          </w:p>
        </w:tc>
        <w:tc>
          <w:tcPr>
            <w:tcW w:w="1276" w:type="dxa"/>
          </w:tcPr>
          <w:p w14:paraId="19D135B3" w14:textId="77777777" w:rsidR="001D6079" w:rsidRPr="0040482C" w:rsidRDefault="001D6079" w:rsidP="001D6079">
            <w:pPr>
              <w:pStyle w:val="TableText10"/>
            </w:pPr>
            <w:r w:rsidRPr="0040482C">
              <w:t>entitled</w:t>
            </w:r>
          </w:p>
        </w:tc>
      </w:tr>
      <w:tr w:rsidR="001D6079" w:rsidRPr="0040482C" w14:paraId="5C129CC7" w14:textId="77777777" w:rsidTr="001D6079">
        <w:trPr>
          <w:cantSplit/>
        </w:trPr>
        <w:tc>
          <w:tcPr>
            <w:tcW w:w="1200" w:type="dxa"/>
          </w:tcPr>
          <w:p w14:paraId="1D05378B" w14:textId="77777777" w:rsidR="001D6079" w:rsidRPr="0040482C" w:rsidRDefault="001D6079" w:rsidP="001D6079">
            <w:pPr>
              <w:pStyle w:val="TableNumbered"/>
              <w:numPr>
                <w:ilvl w:val="0"/>
                <w:numId w:val="0"/>
              </w:numPr>
              <w:ind w:left="360" w:hanging="360"/>
            </w:pPr>
            <w:r w:rsidRPr="0040482C">
              <w:t xml:space="preserve">9 </w:t>
            </w:r>
          </w:p>
        </w:tc>
        <w:tc>
          <w:tcPr>
            <w:tcW w:w="1154" w:type="dxa"/>
          </w:tcPr>
          <w:p w14:paraId="6C30922E" w14:textId="77777777" w:rsidR="001D6079" w:rsidRPr="0040482C" w:rsidRDefault="001D6079" w:rsidP="001D6079">
            <w:pPr>
              <w:pStyle w:val="TableText10"/>
            </w:pPr>
            <w:r w:rsidRPr="0040482C">
              <w:t>5B</w:t>
            </w:r>
          </w:p>
        </w:tc>
        <w:tc>
          <w:tcPr>
            <w:tcW w:w="2268" w:type="dxa"/>
          </w:tcPr>
          <w:p w14:paraId="1E64E1E1" w14:textId="77777777" w:rsidR="001D6079" w:rsidRPr="0040482C" w:rsidRDefault="001D6079" w:rsidP="001D6079">
            <w:pPr>
              <w:pStyle w:val="TableText10"/>
            </w:pPr>
            <w:r w:rsidRPr="0040482C">
              <w:t>bus or demand responsive service vehicle</w:t>
            </w:r>
          </w:p>
        </w:tc>
        <w:tc>
          <w:tcPr>
            <w:tcW w:w="1865" w:type="dxa"/>
          </w:tcPr>
          <w:p w14:paraId="1F3A2F42" w14:textId="77777777" w:rsidR="001D6079" w:rsidRPr="0040482C" w:rsidRDefault="001D6079" w:rsidP="001D6079">
            <w:pPr>
              <w:pStyle w:val="TableText10"/>
            </w:pPr>
            <w:r w:rsidRPr="0040482C">
              <w:t>vehicle has seating for not more than 16 adults (including driver)</w:t>
            </w:r>
          </w:p>
        </w:tc>
        <w:tc>
          <w:tcPr>
            <w:tcW w:w="1276" w:type="dxa"/>
          </w:tcPr>
          <w:p w14:paraId="1633CB80" w14:textId="77777777" w:rsidR="001D6079" w:rsidRPr="0040482C" w:rsidRDefault="001D6079" w:rsidP="001D6079">
            <w:pPr>
              <w:pStyle w:val="TableText10"/>
            </w:pPr>
            <w:r w:rsidRPr="0040482C">
              <w:t>not entitled</w:t>
            </w:r>
          </w:p>
        </w:tc>
      </w:tr>
      <w:tr w:rsidR="001D6079" w:rsidRPr="0040482C" w14:paraId="39C7D803" w14:textId="77777777" w:rsidTr="001D6079">
        <w:trPr>
          <w:cantSplit/>
        </w:trPr>
        <w:tc>
          <w:tcPr>
            <w:tcW w:w="1200" w:type="dxa"/>
          </w:tcPr>
          <w:p w14:paraId="51156FBC" w14:textId="77777777" w:rsidR="001D6079" w:rsidRPr="0040482C" w:rsidRDefault="001D6079" w:rsidP="001D6079">
            <w:pPr>
              <w:pStyle w:val="TableNumbered"/>
              <w:numPr>
                <w:ilvl w:val="0"/>
                <w:numId w:val="0"/>
              </w:numPr>
              <w:ind w:left="360" w:hanging="360"/>
            </w:pPr>
            <w:r w:rsidRPr="0040482C">
              <w:t xml:space="preserve">10 </w:t>
            </w:r>
          </w:p>
        </w:tc>
        <w:tc>
          <w:tcPr>
            <w:tcW w:w="1154" w:type="dxa"/>
          </w:tcPr>
          <w:p w14:paraId="3E6C5949" w14:textId="77777777" w:rsidR="001D6079" w:rsidRPr="0040482C" w:rsidRDefault="001D6079" w:rsidP="001D6079">
            <w:pPr>
              <w:pStyle w:val="TableText10"/>
            </w:pPr>
            <w:r w:rsidRPr="0040482C">
              <w:t>5B</w:t>
            </w:r>
          </w:p>
        </w:tc>
        <w:tc>
          <w:tcPr>
            <w:tcW w:w="2268" w:type="dxa"/>
          </w:tcPr>
          <w:p w14:paraId="5DAA2520" w14:textId="77777777" w:rsidR="001D6079" w:rsidRPr="0040482C" w:rsidRDefault="001D6079" w:rsidP="001D6079">
            <w:pPr>
              <w:pStyle w:val="TableText10"/>
            </w:pPr>
            <w:r w:rsidRPr="0040482C">
              <w:t>bus or demand responsive service vehicle</w:t>
            </w:r>
          </w:p>
        </w:tc>
        <w:tc>
          <w:tcPr>
            <w:tcW w:w="1865" w:type="dxa"/>
          </w:tcPr>
          <w:p w14:paraId="635F3422" w14:textId="77777777" w:rsidR="001D6079" w:rsidRPr="0040482C" w:rsidRDefault="001D6079" w:rsidP="001D6079">
            <w:pPr>
              <w:pStyle w:val="TableText10"/>
            </w:pPr>
            <w:r w:rsidRPr="0040482C">
              <w:t>vehicle has seating for not more than 16 adults (including driver)</w:t>
            </w:r>
          </w:p>
        </w:tc>
        <w:tc>
          <w:tcPr>
            <w:tcW w:w="1276" w:type="dxa"/>
          </w:tcPr>
          <w:p w14:paraId="565FF1B0" w14:textId="77777777" w:rsidR="001D6079" w:rsidRPr="0040482C" w:rsidRDefault="001D6079" w:rsidP="001D6079">
            <w:pPr>
              <w:pStyle w:val="TableText10"/>
            </w:pPr>
            <w:r w:rsidRPr="0040482C">
              <w:t>entitled</w:t>
            </w:r>
          </w:p>
        </w:tc>
      </w:tr>
      <w:tr w:rsidR="001D6079" w:rsidRPr="0040482C" w14:paraId="6C6B98FC" w14:textId="77777777" w:rsidTr="001D6079">
        <w:trPr>
          <w:cantSplit/>
        </w:trPr>
        <w:tc>
          <w:tcPr>
            <w:tcW w:w="1200" w:type="dxa"/>
          </w:tcPr>
          <w:p w14:paraId="42B6B438" w14:textId="77777777" w:rsidR="001D6079" w:rsidRPr="0040482C" w:rsidRDefault="001D6079" w:rsidP="001D6079">
            <w:pPr>
              <w:pStyle w:val="TableNumbered"/>
              <w:numPr>
                <w:ilvl w:val="0"/>
                <w:numId w:val="0"/>
              </w:numPr>
              <w:ind w:left="360" w:hanging="360"/>
            </w:pPr>
            <w:r w:rsidRPr="0040482C">
              <w:t xml:space="preserve">11 </w:t>
            </w:r>
          </w:p>
        </w:tc>
        <w:tc>
          <w:tcPr>
            <w:tcW w:w="1154" w:type="dxa"/>
          </w:tcPr>
          <w:p w14:paraId="762CACF8" w14:textId="77777777" w:rsidR="001D6079" w:rsidRPr="0040482C" w:rsidRDefault="001D6079" w:rsidP="001D6079">
            <w:pPr>
              <w:pStyle w:val="TableText10"/>
            </w:pPr>
            <w:r w:rsidRPr="0040482C">
              <w:t>6</w:t>
            </w:r>
          </w:p>
        </w:tc>
        <w:tc>
          <w:tcPr>
            <w:tcW w:w="2268" w:type="dxa"/>
          </w:tcPr>
          <w:p w14:paraId="2AF4A420" w14:textId="77777777" w:rsidR="001D6079" w:rsidRPr="0040482C" w:rsidRDefault="001D6079" w:rsidP="001D6079">
            <w:pPr>
              <w:pStyle w:val="TableText10"/>
            </w:pPr>
            <w:r w:rsidRPr="0040482C">
              <w:t>taxi</w:t>
            </w:r>
          </w:p>
        </w:tc>
        <w:tc>
          <w:tcPr>
            <w:tcW w:w="1865" w:type="dxa"/>
          </w:tcPr>
          <w:p w14:paraId="0649272F" w14:textId="77777777" w:rsidR="001D6079" w:rsidRPr="0040482C" w:rsidRDefault="001D6079" w:rsidP="001D6079">
            <w:pPr>
              <w:pStyle w:val="TableText10"/>
            </w:pPr>
          </w:p>
        </w:tc>
        <w:tc>
          <w:tcPr>
            <w:tcW w:w="1276" w:type="dxa"/>
          </w:tcPr>
          <w:p w14:paraId="3F70FB75" w14:textId="77777777" w:rsidR="001D6079" w:rsidRPr="0040482C" w:rsidRDefault="001D6079" w:rsidP="001D6079">
            <w:pPr>
              <w:pStyle w:val="TableText10"/>
            </w:pPr>
            <w:r w:rsidRPr="0040482C">
              <w:t>not entitled</w:t>
            </w:r>
          </w:p>
        </w:tc>
      </w:tr>
      <w:tr w:rsidR="001D6079" w:rsidRPr="0040482C" w14:paraId="46FB03B0" w14:textId="77777777" w:rsidTr="001D6079">
        <w:trPr>
          <w:cantSplit/>
        </w:trPr>
        <w:tc>
          <w:tcPr>
            <w:tcW w:w="1200" w:type="dxa"/>
          </w:tcPr>
          <w:p w14:paraId="76D8E172" w14:textId="77777777" w:rsidR="001D6079" w:rsidRPr="0040482C" w:rsidRDefault="001D6079" w:rsidP="001D6079">
            <w:pPr>
              <w:pStyle w:val="TableNumbered"/>
              <w:numPr>
                <w:ilvl w:val="0"/>
                <w:numId w:val="0"/>
              </w:numPr>
              <w:ind w:left="360" w:hanging="360"/>
            </w:pPr>
            <w:r w:rsidRPr="0040482C">
              <w:t xml:space="preserve">12 </w:t>
            </w:r>
          </w:p>
        </w:tc>
        <w:tc>
          <w:tcPr>
            <w:tcW w:w="1154" w:type="dxa"/>
          </w:tcPr>
          <w:p w14:paraId="794DD3D0" w14:textId="77777777" w:rsidR="001D6079" w:rsidRPr="0040482C" w:rsidRDefault="001D6079" w:rsidP="001D6079">
            <w:pPr>
              <w:pStyle w:val="TableText10"/>
            </w:pPr>
            <w:r w:rsidRPr="0040482C">
              <w:t>6</w:t>
            </w:r>
          </w:p>
        </w:tc>
        <w:tc>
          <w:tcPr>
            <w:tcW w:w="2268" w:type="dxa"/>
          </w:tcPr>
          <w:p w14:paraId="39C3C714" w14:textId="77777777" w:rsidR="001D6079" w:rsidRPr="0040482C" w:rsidRDefault="001D6079" w:rsidP="001D6079">
            <w:pPr>
              <w:pStyle w:val="TableText10"/>
            </w:pPr>
            <w:r w:rsidRPr="0040482C">
              <w:t>taxi</w:t>
            </w:r>
          </w:p>
        </w:tc>
        <w:tc>
          <w:tcPr>
            <w:tcW w:w="1865" w:type="dxa"/>
          </w:tcPr>
          <w:p w14:paraId="26B90F20" w14:textId="77777777" w:rsidR="001D6079" w:rsidRPr="0040482C" w:rsidRDefault="001D6079" w:rsidP="001D6079">
            <w:pPr>
              <w:pStyle w:val="TableText10"/>
            </w:pPr>
          </w:p>
        </w:tc>
        <w:tc>
          <w:tcPr>
            <w:tcW w:w="1276" w:type="dxa"/>
          </w:tcPr>
          <w:p w14:paraId="248615B2" w14:textId="77777777" w:rsidR="001D6079" w:rsidRPr="0040482C" w:rsidRDefault="001D6079" w:rsidP="001D6079">
            <w:pPr>
              <w:pStyle w:val="TableText10"/>
            </w:pPr>
            <w:r w:rsidRPr="0040482C">
              <w:t>entitled</w:t>
            </w:r>
          </w:p>
        </w:tc>
      </w:tr>
      <w:tr w:rsidR="001D6079" w:rsidRPr="0040482C" w14:paraId="2BB8EA04" w14:textId="77777777" w:rsidTr="001D6079">
        <w:trPr>
          <w:cantSplit/>
        </w:trPr>
        <w:tc>
          <w:tcPr>
            <w:tcW w:w="1200" w:type="dxa"/>
          </w:tcPr>
          <w:p w14:paraId="26C94F5B" w14:textId="77777777" w:rsidR="001D6079" w:rsidRPr="0040482C" w:rsidRDefault="001D6079" w:rsidP="001D6079">
            <w:pPr>
              <w:pStyle w:val="TableNumbered"/>
              <w:numPr>
                <w:ilvl w:val="0"/>
                <w:numId w:val="0"/>
              </w:numPr>
              <w:ind w:left="360" w:hanging="360"/>
            </w:pPr>
            <w:r w:rsidRPr="0040482C">
              <w:t xml:space="preserve">13 </w:t>
            </w:r>
          </w:p>
        </w:tc>
        <w:tc>
          <w:tcPr>
            <w:tcW w:w="1154" w:type="dxa"/>
          </w:tcPr>
          <w:p w14:paraId="13F6166D" w14:textId="77777777" w:rsidR="001D6079" w:rsidRPr="0040482C" w:rsidRDefault="001D6079" w:rsidP="001D6079">
            <w:pPr>
              <w:pStyle w:val="TableText10"/>
            </w:pPr>
            <w:r w:rsidRPr="0040482C">
              <w:t>7</w:t>
            </w:r>
          </w:p>
        </w:tc>
        <w:tc>
          <w:tcPr>
            <w:tcW w:w="2268" w:type="dxa"/>
          </w:tcPr>
          <w:p w14:paraId="62C70832" w14:textId="77777777" w:rsidR="001D6079" w:rsidRPr="0040482C" w:rsidRDefault="001D6079" w:rsidP="001D6079">
            <w:pPr>
              <w:pStyle w:val="TableText10"/>
            </w:pPr>
            <w:r w:rsidRPr="0040482C">
              <w:t>private hire car</w:t>
            </w:r>
          </w:p>
        </w:tc>
        <w:tc>
          <w:tcPr>
            <w:tcW w:w="1865" w:type="dxa"/>
          </w:tcPr>
          <w:p w14:paraId="089253A3" w14:textId="77777777" w:rsidR="001D6079" w:rsidRPr="0040482C" w:rsidRDefault="001D6079" w:rsidP="001D6079">
            <w:pPr>
              <w:pStyle w:val="TableText10"/>
            </w:pPr>
          </w:p>
        </w:tc>
        <w:tc>
          <w:tcPr>
            <w:tcW w:w="1276" w:type="dxa"/>
          </w:tcPr>
          <w:p w14:paraId="709F5626" w14:textId="77777777" w:rsidR="001D6079" w:rsidRPr="0040482C" w:rsidRDefault="001D6079" w:rsidP="001D6079">
            <w:pPr>
              <w:pStyle w:val="TableText10"/>
            </w:pPr>
            <w:r w:rsidRPr="0040482C">
              <w:t>not entitled</w:t>
            </w:r>
          </w:p>
        </w:tc>
      </w:tr>
      <w:tr w:rsidR="001D6079" w:rsidRPr="0040482C" w14:paraId="5576AF23" w14:textId="77777777" w:rsidTr="001D6079">
        <w:trPr>
          <w:cantSplit/>
        </w:trPr>
        <w:tc>
          <w:tcPr>
            <w:tcW w:w="1200" w:type="dxa"/>
          </w:tcPr>
          <w:p w14:paraId="6FF658D1" w14:textId="77777777" w:rsidR="001D6079" w:rsidRPr="0040482C" w:rsidRDefault="001D6079" w:rsidP="001D6079">
            <w:pPr>
              <w:pStyle w:val="TableNumbered"/>
              <w:numPr>
                <w:ilvl w:val="0"/>
                <w:numId w:val="0"/>
              </w:numPr>
              <w:ind w:left="360" w:hanging="360"/>
            </w:pPr>
            <w:r w:rsidRPr="0040482C">
              <w:t xml:space="preserve">14 </w:t>
            </w:r>
          </w:p>
        </w:tc>
        <w:tc>
          <w:tcPr>
            <w:tcW w:w="1154" w:type="dxa"/>
          </w:tcPr>
          <w:p w14:paraId="58BA4110" w14:textId="77777777" w:rsidR="001D6079" w:rsidRPr="0040482C" w:rsidRDefault="001D6079" w:rsidP="001D6079">
            <w:pPr>
              <w:pStyle w:val="TableText10"/>
            </w:pPr>
            <w:r w:rsidRPr="0040482C">
              <w:t>7</w:t>
            </w:r>
          </w:p>
        </w:tc>
        <w:tc>
          <w:tcPr>
            <w:tcW w:w="2268" w:type="dxa"/>
          </w:tcPr>
          <w:p w14:paraId="7C5ED574" w14:textId="77777777" w:rsidR="001D6079" w:rsidRPr="0040482C" w:rsidRDefault="001D6079" w:rsidP="001D6079">
            <w:pPr>
              <w:pStyle w:val="TableText10"/>
            </w:pPr>
            <w:r w:rsidRPr="0040482C">
              <w:t>private hire car</w:t>
            </w:r>
          </w:p>
        </w:tc>
        <w:tc>
          <w:tcPr>
            <w:tcW w:w="1865" w:type="dxa"/>
          </w:tcPr>
          <w:p w14:paraId="5D2FD0C1" w14:textId="77777777" w:rsidR="001D6079" w:rsidRPr="0040482C" w:rsidRDefault="001D6079" w:rsidP="001D6079">
            <w:pPr>
              <w:pStyle w:val="TableText10"/>
            </w:pPr>
          </w:p>
        </w:tc>
        <w:tc>
          <w:tcPr>
            <w:tcW w:w="1276" w:type="dxa"/>
          </w:tcPr>
          <w:p w14:paraId="0E6861A5" w14:textId="77777777" w:rsidR="001D6079" w:rsidRPr="0040482C" w:rsidRDefault="001D6079" w:rsidP="001D6079">
            <w:pPr>
              <w:pStyle w:val="TableText10"/>
            </w:pPr>
            <w:r w:rsidRPr="0040482C">
              <w:t>entitled</w:t>
            </w:r>
          </w:p>
        </w:tc>
      </w:tr>
      <w:tr w:rsidR="001D6079" w:rsidRPr="0040482C" w14:paraId="74D95BC7" w14:textId="77777777" w:rsidTr="001D6079">
        <w:trPr>
          <w:cantSplit/>
        </w:trPr>
        <w:tc>
          <w:tcPr>
            <w:tcW w:w="1200" w:type="dxa"/>
          </w:tcPr>
          <w:p w14:paraId="4529B465" w14:textId="77777777" w:rsidR="001D6079" w:rsidRPr="0040482C" w:rsidRDefault="001D6079" w:rsidP="001D6079">
            <w:pPr>
              <w:pStyle w:val="TableNumbered"/>
              <w:numPr>
                <w:ilvl w:val="0"/>
                <w:numId w:val="0"/>
              </w:numPr>
              <w:ind w:left="360" w:hanging="360"/>
            </w:pPr>
            <w:r w:rsidRPr="0040482C">
              <w:lastRenderedPageBreak/>
              <w:t xml:space="preserve">15 </w:t>
            </w:r>
          </w:p>
        </w:tc>
        <w:tc>
          <w:tcPr>
            <w:tcW w:w="1154" w:type="dxa"/>
          </w:tcPr>
          <w:p w14:paraId="6BFA68FF" w14:textId="77777777" w:rsidR="001D6079" w:rsidRPr="0040482C" w:rsidRDefault="001D6079" w:rsidP="001D6079">
            <w:pPr>
              <w:pStyle w:val="TableText10"/>
            </w:pPr>
            <w:r w:rsidRPr="0040482C">
              <w:t>8</w:t>
            </w:r>
          </w:p>
        </w:tc>
        <w:tc>
          <w:tcPr>
            <w:tcW w:w="2268" w:type="dxa"/>
          </w:tcPr>
          <w:p w14:paraId="009AE478" w14:textId="77777777" w:rsidR="001D6079" w:rsidRPr="0040482C" w:rsidRDefault="001D6079" w:rsidP="001D6079">
            <w:pPr>
              <w:pStyle w:val="TableText10"/>
            </w:pPr>
            <w:r w:rsidRPr="0040482C">
              <w:t>drive-yourself vehicle</w:t>
            </w:r>
          </w:p>
        </w:tc>
        <w:tc>
          <w:tcPr>
            <w:tcW w:w="1865" w:type="dxa"/>
          </w:tcPr>
          <w:p w14:paraId="513B7D60" w14:textId="77777777" w:rsidR="001D6079" w:rsidRPr="0040482C" w:rsidRDefault="001D6079" w:rsidP="001D6079">
            <w:pPr>
              <w:pStyle w:val="TableText10"/>
            </w:pPr>
          </w:p>
        </w:tc>
        <w:tc>
          <w:tcPr>
            <w:tcW w:w="1276" w:type="dxa"/>
          </w:tcPr>
          <w:p w14:paraId="7245A50A" w14:textId="77777777" w:rsidR="001D6079" w:rsidRPr="0040482C" w:rsidRDefault="001D6079" w:rsidP="001D6079">
            <w:pPr>
              <w:pStyle w:val="TableText10"/>
            </w:pPr>
            <w:r w:rsidRPr="0040482C">
              <w:t>not entitled</w:t>
            </w:r>
          </w:p>
        </w:tc>
      </w:tr>
      <w:tr w:rsidR="001D6079" w:rsidRPr="0040482C" w14:paraId="421E32B4" w14:textId="77777777" w:rsidTr="001D6079">
        <w:trPr>
          <w:cantSplit/>
        </w:trPr>
        <w:tc>
          <w:tcPr>
            <w:tcW w:w="1200" w:type="dxa"/>
          </w:tcPr>
          <w:p w14:paraId="51A2D7E7" w14:textId="77777777" w:rsidR="001D6079" w:rsidRPr="0040482C" w:rsidRDefault="001D6079" w:rsidP="001D6079">
            <w:pPr>
              <w:pStyle w:val="TableNumbered"/>
              <w:numPr>
                <w:ilvl w:val="0"/>
                <w:numId w:val="0"/>
              </w:numPr>
              <w:ind w:left="360" w:hanging="360"/>
            </w:pPr>
            <w:r w:rsidRPr="0040482C">
              <w:t xml:space="preserve">16 </w:t>
            </w:r>
          </w:p>
        </w:tc>
        <w:tc>
          <w:tcPr>
            <w:tcW w:w="1154" w:type="dxa"/>
          </w:tcPr>
          <w:p w14:paraId="6F41A76F" w14:textId="77777777" w:rsidR="001D6079" w:rsidRPr="0040482C" w:rsidRDefault="001D6079" w:rsidP="001D6079">
            <w:pPr>
              <w:pStyle w:val="TableText10"/>
            </w:pPr>
            <w:r w:rsidRPr="0040482C">
              <w:t>8</w:t>
            </w:r>
          </w:p>
        </w:tc>
        <w:tc>
          <w:tcPr>
            <w:tcW w:w="2268" w:type="dxa"/>
          </w:tcPr>
          <w:p w14:paraId="44C14A74" w14:textId="77777777" w:rsidR="001D6079" w:rsidRPr="0040482C" w:rsidRDefault="001D6079" w:rsidP="001D6079">
            <w:pPr>
              <w:pStyle w:val="TableText10"/>
            </w:pPr>
            <w:r w:rsidRPr="0040482C">
              <w:t>drive-yourself vehicle</w:t>
            </w:r>
          </w:p>
        </w:tc>
        <w:tc>
          <w:tcPr>
            <w:tcW w:w="1865" w:type="dxa"/>
          </w:tcPr>
          <w:p w14:paraId="46522B2B" w14:textId="77777777" w:rsidR="001D6079" w:rsidRPr="0040482C" w:rsidRDefault="001D6079" w:rsidP="001D6079">
            <w:pPr>
              <w:pStyle w:val="TableText10"/>
            </w:pPr>
          </w:p>
        </w:tc>
        <w:tc>
          <w:tcPr>
            <w:tcW w:w="1276" w:type="dxa"/>
          </w:tcPr>
          <w:p w14:paraId="594EE118" w14:textId="77777777" w:rsidR="001D6079" w:rsidRPr="0040482C" w:rsidRDefault="001D6079" w:rsidP="001D6079">
            <w:pPr>
              <w:pStyle w:val="TableText10"/>
            </w:pPr>
            <w:r w:rsidRPr="0040482C">
              <w:t>entitled</w:t>
            </w:r>
          </w:p>
        </w:tc>
      </w:tr>
      <w:tr w:rsidR="001D6079" w:rsidRPr="0040482C" w14:paraId="021C63B4" w14:textId="77777777" w:rsidTr="001D6079">
        <w:trPr>
          <w:cantSplit/>
        </w:trPr>
        <w:tc>
          <w:tcPr>
            <w:tcW w:w="1200" w:type="dxa"/>
          </w:tcPr>
          <w:p w14:paraId="1B8C0D31" w14:textId="77777777" w:rsidR="001D6079" w:rsidRPr="0040482C" w:rsidRDefault="001D6079" w:rsidP="001D6079">
            <w:pPr>
              <w:pStyle w:val="TableNumbered"/>
              <w:numPr>
                <w:ilvl w:val="0"/>
                <w:numId w:val="0"/>
              </w:numPr>
              <w:ind w:left="360" w:hanging="360"/>
            </w:pPr>
            <w:r w:rsidRPr="0040482C">
              <w:t xml:space="preserve">17 </w:t>
            </w:r>
          </w:p>
        </w:tc>
        <w:tc>
          <w:tcPr>
            <w:tcW w:w="1154" w:type="dxa"/>
          </w:tcPr>
          <w:p w14:paraId="66E2D68F" w14:textId="77777777" w:rsidR="001D6079" w:rsidRPr="0040482C" w:rsidRDefault="001D6079" w:rsidP="001D6079">
            <w:pPr>
              <w:pStyle w:val="TableText10"/>
            </w:pPr>
            <w:r w:rsidRPr="0040482C">
              <w:t>9A</w:t>
            </w:r>
          </w:p>
        </w:tc>
        <w:tc>
          <w:tcPr>
            <w:tcW w:w="2268" w:type="dxa"/>
          </w:tcPr>
          <w:p w14:paraId="274E09E9" w14:textId="77777777" w:rsidR="001D6079" w:rsidRPr="0040482C" w:rsidRDefault="001D6079" w:rsidP="001D6079">
            <w:pPr>
              <w:pStyle w:val="TableText10"/>
            </w:pPr>
            <w:r w:rsidRPr="0040482C">
              <w:t>motorcycle</w:t>
            </w:r>
          </w:p>
        </w:tc>
        <w:tc>
          <w:tcPr>
            <w:tcW w:w="1865" w:type="dxa"/>
          </w:tcPr>
          <w:p w14:paraId="77DF00F0" w14:textId="77777777" w:rsidR="001D6079" w:rsidRPr="0040482C" w:rsidRDefault="001D6079" w:rsidP="001D6079">
            <w:pPr>
              <w:pStyle w:val="TableText10"/>
            </w:pPr>
            <w:r w:rsidRPr="0040482C">
              <w:t>engine capacity over 600cc</w:t>
            </w:r>
          </w:p>
        </w:tc>
        <w:tc>
          <w:tcPr>
            <w:tcW w:w="1276" w:type="dxa"/>
          </w:tcPr>
          <w:p w14:paraId="4133FA76" w14:textId="77777777" w:rsidR="001D6079" w:rsidRPr="0040482C" w:rsidRDefault="001D6079" w:rsidP="001D6079">
            <w:pPr>
              <w:pStyle w:val="TableText10"/>
            </w:pPr>
            <w:r w:rsidRPr="0040482C">
              <w:t>not entitled</w:t>
            </w:r>
          </w:p>
        </w:tc>
      </w:tr>
      <w:tr w:rsidR="001D6079" w:rsidRPr="0040482C" w14:paraId="6C9234B4" w14:textId="77777777" w:rsidTr="001D6079">
        <w:trPr>
          <w:cantSplit/>
        </w:trPr>
        <w:tc>
          <w:tcPr>
            <w:tcW w:w="1200" w:type="dxa"/>
          </w:tcPr>
          <w:p w14:paraId="162993E9" w14:textId="77777777" w:rsidR="001D6079" w:rsidRPr="0040482C" w:rsidRDefault="001D6079" w:rsidP="001D6079">
            <w:pPr>
              <w:pStyle w:val="TableNumbered"/>
              <w:numPr>
                <w:ilvl w:val="0"/>
                <w:numId w:val="0"/>
              </w:numPr>
              <w:ind w:left="360" w:hanging="360"/>
            </w:pPr>
            <w:r w:rsidRPr="0040482C">
              <w:t xml:space="preserve">18 </w:t>
            </w:r>
          </w:p>
        </w:tc>
        <w:tc>
          <w:tcPr>
            <w:tcW w:w="1154" w:type="dxa"/>
          </w:tcPr>
          <w:p w14:paraId="541C08DE" w14:textId="77777777" w:rsidR="001D6079" w:rsidRPr="0040482C" w:rsidRDefault="001D6079" w:rsidP="001D6079">
            <w:pPr>
              <w:pStyle w:val="TableText10"/>
            </w:pPr>
            <w:r w:rsidRPr="0040482C">
              <w:t>9A</w:t>
            </w:r>
          </w:p>
        </w:tc>
        <w:tc>
          <w:tcPr>
            <w:tcW w:w="2268" w:type="dxa"/>
          </w:tcPr>
          <w:p w14:paraId="528D1878" w14:textId="77777777" w:rsidR="001D6079" w:rsidRPr="0040482C" w:rsidRDefault="001D6079" w:rsidP="001D6079">
            <w:pPr>
              <w:pStyle w:val="TableText10"/>
            </w:pPr>
            <w:r w:rsidRPr="0040482C">
              <w:t>motorcycle</w:t>
            </w:r>
          </w:p>
        </w:tc>
        <w:tc>
          <w:tcPr>
            <w:tcW w:w="1865" w:type="dxa"/>
          </w:tcPr>
          <w:p w14:paraId="09F09C0C" w14:textId="77777777" w:rsidR="001D6079" w:rsidRPr="0040482C" w:rsidRDefault="001D6079" w:rsidP="001D6079">
            <w:pPr>
              <w:pStyle w:val="TableText10"/>
            </w:pPr>
            <w:r w:rsidRPr="0040482C">
              <w:t>engine capacity over 600cc</w:t>
            </w:r>
          </w:p>
        </w:tc>
        <w:tc>
          <w:tcPr>
            <w:tcW w:w="1276" w:type="dxa"/>
          </w:tcPr>
          <w:p w14:paraId="6E9F33C6" w14:textId="77777777" w:rsidR="001D6079" w:rsidRPr="0040482C" w:rsidRDefault="001D6079" w:rsidP="001D6079">
            <w:pPr>
              <w:pStyle w:val="TableText10"/>
            </w:pPr>
            <w:r w:rsidRPr="0040482C">
              <w:t>entitled</w:t>
            </w:r>
          </w:p>
        </w:tc>
      </w:tr>
      <w:tr w:rsidR="001D6079" w:rsidRPr="0040482C" w14:paraId="57A4412D" w14:textId="77777777" w:rsidTr="001D6079">
        <w:trPr>
          <w:cantSplit/>
        </w:trPr>
        <w:tc>
          <w:tcPr>
            <w:tcW w:w="1200" w:type="dxa"/>
          </w:tcPr>
          <w:p w14:paraId="3FFCCE4F" w14:textId="77777777" w:rsidR="001D6079" w:rsidRPr="0040482C" w:rsidRDefault="001D6079" w:rsidP="001D6079">
            <w:pPr>
              <w:pStyle w:val="TableNumbered"/>
              <w:numPr>
                <w:ilvl w:val="0"/>
                <w:numId w:val="0"/>
              </w:numPr>
              <w:ind w:left="360" w:hanging="360"/>
            </w:pPr>
            <w:r w:rsidRPr="0040482C">
              <w:t xml:space="preserve">19 </w:t>
            </w:r>
          </w:p>
        </w:tc>
        <w:tc>
          <w:tcPr>
            <w:tcW w:w="1154" w:type="dxa"/>
          </w:tcPr>
          <w:p w14:paraId="60837C59" w14:textId="77777777" w:rsidR="001D6079" w:rsidRPr="0040482C" w:rsidRDefault="001D6079" w:rsidP="001D6079">
            <w:pPr>
              <w:pStyle w:val="TableText10"/>
            </w:pPr>
            <w:r w:rsidRPr="0040482C">
              <w:t>9B</w:t>
            </w:r>
          </w:p>
        </w:tc>
        <w:tc>
          <w:tcPr>
            <w:tcW w:w="2268" w:type="dxa"/>
          </w:tcPr>
          <w:p w14:paraId="2F463F65" w14:textId="77777777" w:rsidR="001D6079" w:rsidRPr="0040482C" w:rsidRDefault="001D6079" w:rsidP="001D6079">
            <w:pPr>
              <w:pStyle w:val="TableText10"/>
            </w:pPr>
            <w:r w:rsidRPr="0040482C">
              <w:t>motorcycle</w:t>
            </w:r>
          </w:p>
        </w:tc>
        <w:tc>
          <w:tcPr>
            <w:tcW w:w="1865" w:type="dxa"/>
          </w:tcPr>
          <w:p w14:paraId="34FAD019" w14:textId="77777777" w:rsidR="001D6079" w:rsidRPr="0040482C" w:rsidRDefault="001D6079" w:rsidP="001D6079">
            <w:pPr>
              <w:pStyle w:val="TableText10"/>
            </w:pPr>
            <w:r w:rsidRPr="0040482C">
              <w:t>engine capacity over 300cc but not over 600cc</w:t>
            </w:r>
          </w:p>
        </w:tc>
        <w:tc>
          <w:tcPr>
            <w:tcW w:w="1276" w:type="dxa"/>
          </w:tcPr>
          <w:p w14:paraId="150E10B9" w14:textId="77777777" w:rsidR="001D6079" w:rsidRPr="0040482C" w:rsidRDefault="001D6079" w:rsidP="001D6079">
            <w:pPr>
              <w:pStyle w:val="TableText10"/>
            </w:pPr>
            <w:r w:rsidRPr="0040482C">
              <w:t>not entitled</w:t>
            </w:r>
          </w:p>
        </w:tc>
      </w:tr>
      <w:tr w:rsidR="001D6079" w:rsidRPr="0040482C" w14:paraId="7FF32E99" w14:textId="77777777" w:rsidTr="001D6079">
        <w:trPr>
          <w:cantSplit/>
        </w:trPr>
        <w:tc>
          <w:tcPr>
            <w:tcW w:w="1200" w:type="dxa"/>
          </w:tcPr>
          <w:p w14:paraId="53654F7C" w14:textId="77777777" w:rsidR="001D6079" w:rsidRPr="0040482C" w:rsidRDefault="001D6079" w:rsidP="001D6079">
            <w:pPr>
              <w:pStyle w:val="TableNumbered"/>
              <w:numPr>
                <w:ilvl w:val="0"/>
                <w:numId w:val="0"/>
              </w:numPr>
              <w:ind w:left="360" w:hanging="360"/>
            </w:pPr>
            <w:r w:rsidRPr="0040482C">
              <w:t xml:space="preserve">20 </w:t>
            </w:r>
          </w:p>
        </w:tc>
        <w:tc>
          <w:tcPr>
            <w:tcW w:w="1154" w:type="dxa"/>
          </w:tcPr>
          <w:p w14:paraId="70A736B7" w14:textId="77777777" w:rsidR="001D6079" w:rsidRPr="0040482C" w:rsidRDefault="001D6079" w:rsidP="001D6079">
            <w:pPr>
              <w:pStyle w:val="TableText10"/>
            </w:pPr>
            <w:r w:rsidRPr="0040482C">
              <w:t>9B</w:t>
            </w:r>
          </w:p>
        </w:tc>
        <w:tc>
          <w:tcPr>
            <w:tcW w:w="2268" w:type="dxa"/>
          </w:tcPr>
          <w:p w14:paraId="59EAEF2F" w14:textId="77777777" w:rsidR="001D6079" w:rsidRPr="0040482C" w:rsidRDefault="001D6079" w:rsidP="001D6079">
            <w:pPr>
              <w:pStyle w:val="TableText10"/>
            </w:pPr>
            <w:r w:rsidRPr="0040482C">
              <w:t>motorcycle</w:t>
            </w:r>
          </w:p>
        </w:tc>
        <w:tc>
          <w:tcPr>
            <w:tcW w:w="1865" w:type="dxa"/>
          </w:tcPr>
          <w:p w14:paraId="24E6BCB6" w14:textId="77777777" w:rsidR="001D6079" w:rsidRPr="0040482C" w:rsidRDefault="001D6079" w:rsidP="001D6079">
            <w:pPr>
              <w:pStyle w:val="TableText10"/>
            </w:pPr>
            <w:r w:rsidRPr="0040482C">
              <w:t>engine capacity over 300cc but not over 600cc</w:t>
            </w:r>
          </w:p>
        </w:tc>
        <w:tc>
          <w:tcPr>
            <w:tcW w:w="1276" w:type="dxa"/>
          </w:tcPr>
          <w:p w14:paraId="42E25567" w14:textId="77777777" w:rsidR="001D6079" w:rsidRPr="0040482C" w:rsidRDefault="001D6079" w:rsidP="001D6079">
            <w:pPr>
              <w:pStyle w:val="TableText10"/>
            </w:pPr>
            <w:r w:rsidRPr="0040482C">
              <w:t>entitled</w:t>
            </w:r>
          </w:p>
        </w:tc>
      </w:tr>
      <w:tr w:rsidR="001D6079" w:rsidRPr="0040482C" w14:paraId="2BE83186" w14:textId="77777777" w:rsidTr="001D6079">
        <w:trPr>
          <w:cantSplit/>
        </w:trPr>
        <w:tc>
          <w:tcPr>
            <w:tcW w:w="1200" w:type="dxa"/>
          </w:tcPr>
          <w:p w14:paraId="2F4FB026" w14:textId="77777777" w:rsidR="001D6079" w:rsidRPr="0040482C" w:rsidRDefault="001D6079" w:rsidP="001D6079">
            <w:pPr>
              <w:pStyle w:val="TableNumbered"/>
              <w:numPr>
                <w:ilvl w:val="0"/>
                <w:numId w:val="0"/>
              </w:numPr>
              <w:ind w:left="360" w:hanging="360"/>
            </w:pPr>
            <w:r w:rsidRPr="0040482C">
              <w:t xml:space="preserve">21 </w:t>
            </w:r>
          </w:p>
        </w:tc>
        <w:tc>
          <w:tcPr>
            <w:tcW w:w="1154" w:type="dxa"/>
          </w:tcPr>
          <w:p w14:paraId="1F25725B" w14:textId="77777777" w:rsidR="001D6079" w:rsidRPr="0040482C" w:rsidRDefault="001D6079" w:rsidP="001D6079">
            <w:pPr>
              <w:pStyle w:val="TableText10"/>
            </w:pPr>
            <w:r w:rsidRPr="0040482C">
              <w:t>9C</w:t>
            </w:r>
          </w:p>
        </w:tc>
        <w:tc>
          <w:tcPr>
            <w:tcW w:w="2268" w:type="dxa"/>
          </w:tcPr>
          <w:p w14:paraId="7AA0CAA5" w14:textId="77777777" w:rsidR="001D6079" w:rsidRPr="0040482C" w:rsidRDefault="001D6079" w:rsidP="001D6079">
            <w:pPr>
              <w:pStyle w:val="TableText10"/>
            </w:pPr>
            <w:r w:rsidRPr="0040482C">
              <w:t>motorcycle</w:t>
            </w:r>
          </w:p>
        </w:tc>
        <w:tc>
          <w:tcPr>
            <w:tcW w:w="1865" w:type="dxa"/>
          </w:tcPr>
          <w:p w14:paraId="058B27FC" w14:textId="77777777" w:rsidR="001D6079" w:rsidRPr="0040482C" w:rsidRDefault="001D6079" w:rsidP="001D6079">
            <w:pPr>
              <w:pStyle w:val="TableText10"/>
            </w:pPr>
            <w:r w:rsidRPr="0040482C">
              <w:t>engine capacity not over 300cc</w:t>
            </w:r>
          </w:p>
        </w:tc>
        <w:tc>
          <w:tcPr>
            <w:tcW w:w="1276" w:type="dxa"/>
          </w:tcPr>
          <w:p w14:paraId="4689B4C1" w14:textId="77777777" w:rsidR="001D6079" w:rsidRPr="0040482C" w:rsidRDefault="001D6079" w:rsidP="001D6079">
            <w:pPr>
              <w:pStyle w:val="TableText10"/>
            </w:pPr>
            <w:r w:rsidRPr="0040482C">
              <w:t>not entitled</w:t>
            </w:r>
          </w:p>
        </w:tc>
      </w:tr>
      <w:tr w:rsidR="001D6079" w:rsidRPr="0040482C" w14:paraId="628930AC" w14:textId="77777777" w:rsidTr="001D6079">
        <w:trPr>
          <w:cantSplit/>
        </w:trPr>
        <w:tc>
          <w:tcPr>
            <w:tcW w:w="1200" w:type="dxa"/>
          </w:tcPr>
          <w:p w14:paraId="05C09A41" w14:textId="77777777" w:rsidR="001D6079" w:rsidRPr="0040482C" w:rsidRDefault="001D6079" w:rsidP="001D6079">
            <w:pPr>
              <w:pStyle w:val="TableNumbered"/>
              <w:numPr>
                <w:ilvl w:val="0"/>
                <w:numId w:val="0"/>
              </w:numPr>
              <w:ind w:left="360" w:hanging="360"/>
            </w:pPr>
            <w:r w:rsidRPr="0040482C">
              <w:t xml:space="preserve">22 </w:t>
            </w:r>
          </w:p>
        </w:tc>
        <w:tc>
          <w:tcPr>
            <w:tcW w:w="1154" w:type="dxa"/>
          </w:tcPr>
          <w:p w14:paraId="48EA6869" w14:textId="77777777" w:rsidR="001D6079" w:rsidRPr="0040482C" w:rsidRDefault="001D6079" w:rsidP="001D6079">
            <w:pPr>
              <w:pStyle w:val="TableText10"/>
            </w:pPr>
            <w:r w:rsidRPr="0040482C">
              <w:t>9C</w:t>
            </w:r>
          </w:p>
        </w:tc>
        <w:tc>
          <w:tcPr>
            <w:tcW w:w="2268" w:type="dxa"/>
          </w:tcPr>
          <w:p w14:paraId="63B451D8" w14:textId="77777777" w:rsidR="001D6079" w:rsidRPr="0040482C" w:rsidRDefault="001D6079" w:rsidP="001D6079">
            <w:pPr>
              <w:pStyle w:val="TableText10"/>
            </w:pPr>
            <w:r w:rsidRPr="0040482C">
              <w:t>motorcycle</w:t>
            </w:r>
          </w:p>
        </w:tc>
        <w:tc>
          <w:tcPr>
            <w:tcW w:w="1865" w:type="dxa"/>
          </w:tcPr>
          <w:p w14:paraId="17B4B32C" w14:textId="77777777" w:rsidR="001D6079" w:rsidRPr="0040482C" w:rsidRDefault="001D6079" w:rsidP="001D6079">
            <w:pPr>
              <w:pStyle w:val="TableText10"/>
            </w:pPr>
            <w:r w:rsidRPr="0040482C">
              <w:t>engine capacity not over 300cc</w:t>
            </w:r>
          </w:p>
        </w:tc>
        <w:tc>
          <w:tcPr>
            <w:tcW w:w="1276" w:type="dxa"/>
          </w:tcPr>
          <w:p w14:paraId="0A4A6173" w14:textId="77777777" w:rsidR="001D6079" w:rsidRPr="0040482C" w:rsidRDefault="001D6079" w:rsidP="001D6079">
            <w:pPr>
              <w:pStyle w:val="TableText10"/>
            </w:pPr>
            <w:r w:rsidRPr="0040482C">
              <w:t>entitled</w:t>
            </w:r>
          </w:p>
        </w:tc>
      </w:tr>
      <w:tr w:rsidR="001D6079" w:rsidRPr="0040482C" w14:paraId="66BA73B4" w14:textId="77777777" w:rsidTr="001D6079">
        <w:trPr>
          <w:cantSplit/>
        </w:trPr>
        <w:tc>
          <w:tcPr>
            <w:tcW w:w="1200" w:type="dxa"/>
          </w:tcPr>
          <w:p w14:paraId="441D23A8" w14:textId="77777777" w:rsidR="001D6079" w:rsidRPr="0040482C" w:rsidRDefault="001D6079" w:rsidP="001D6079">
            <w:pPr>
              <w:pStyle w:val="TableNumbered"/>
              <w:numPr>
                <w:ilvl w:val="0"/>
                <w:numId w:val="0"/>
              </w:numPr>
              <w:ind w:left="360" w:hanging="360"/>
            </w:pPr>
            <w:r w:rsidRPr="0040482C">
              <w:t xml:space="preserve">23 </w:t>
            </w:r>
          </w:p>
        </w:tc>
        <w:tc>
          <w:tcPr>
            <w:tcW w:w="1154" w:type="dxa"/>
          </w:tcPr>
          <w:p w14:paraId="2CEDB076" w14:textId="77777777" w:rsidR="001D6079" w:rsidRPr="0040482C" w:rsidRDefault="001D6079" w:rsidP="001D6079">
            <w:pPr>
              <w:pStyle w:val="TableText10"/>
            </w:pPr>
            <w:r w:rsidRPr="0040482C">
              <w:t>9D</w:t>
            </w:r>
          </w:p>
        </w:tc>
        <w:tc>
          <w:tcPr>
            <w:tcW w:w="2268" w:type="dxa"/>
          </w:tcPr>
          <w:p w14:paraId="35975CD5" w14:textId="77777777" w:rsidR="001D6079" w:rsidRPr="0040482C" w:rsidRDefault="001D6079" w:rsidP="001D6079">
            <w:pPr>
              <w:pStyle w:val="TableText10"/>
            </w:pPr>
            <w:r w:rsidRPr="0040482C">
              <w:t>motorcycle</w:t>
            </w:r>
          </w:p>
        </w:tc>
        <w:tc>
          <w:tcPr>
            <w:tcW w:w="1865" w:type="dxa"/>
          </w:tcPr>
          <w:p w14:paraId="0AD1398A" w14:textId="77777777" w:rsidR="001D6079" w:rsidRPr="0040482C" w:rsidRDefault="001D6079" w:rsidP="001D6079">
            <w:pPr>
              <w:pStyle w:val="TableText10"/>
            </w:pPr>
            <w:r w:rsidRPr="0040482C">
              <w:t>electrically powered motor</w:t>
            </w:r>
          </w:p>
        </w:tc>
        <w:tc>
          <w:tcPr>
            <w:tcW w:w="1276" w:type="dxa"/>
          </w:tcPr>
          <w:p w14:paraId="179914AA" w14:textId="77777777" w:rsidR="001D6079" w:rsidRPr="0040482C" w:rsidRDefault="001D6079" w:rsidP="001D6079">
            <w:pPr>
              <w:pStyle w:val="TableText10"/>
            </w:pPr>
            <w:r w:rsidRPr="0040482C">
              <w:t>not entitled</w:t>
            </w:r>
          </w:p>
        </w:tc>
      </w:tr>
      <w:tr w:rsidR="001D6079" w:rsidRPr="0040482C" w14:paraId="35541480" w14:textId="77777777" w:rsidTr="001D6079">
        <w:trPr>
          <w:cantSplit/>
        </w:trPr>
        <w:tc>
          <w:tcPr>
            <w:tcW w:w="1200" w:type="dxa"/>
          </w:tcPr>
          <w:p w14:paraId="19F5B834" w14:textId="77777777" w:rsidR="001D6079" w:rsidRPr="0040482C" w:rsidRDefault="001D6079" w:rsidP="001D6079">
            <w:pPr>
              <w:pStyle w:val="TableNumbered"/>
              <w:numPr>
                <w:ilvl w:val="0"/>
                <w:numId w:val="0"/>
              </w:numPr>
              <w:ind w:left="360" w:hanging="360"/>
            </w:pPr>
            <w:r w:rsidRPr="0040482C">
              <w:t xml:space="preserve">24 </w:t>
            </w:r>
          </w:p>
        </w:tc>
        <w:tc>
          <w:tcPr>
            <w:tcW w:w="1154" w:type="dxa"/>
          </w:tcPr>
          <w:p w14:paraId="02A86761" w14:textId="77777777" w:rsidR="001D6079" w:rsidRPr="0040482C" w:rsidRDefault="001D6079" w:rsidP="001D6079">
            <w:pPr>
              <w:pStyle w:val="TableText10"/>
            </w:pPr>
            <w:r w:rsidRPr="0040482C">
              <w:t>9D</w:t>
            </w:r>
          </w:p>
        </w:tc>
        <w:tc>
          <w:tcPr>
            <w:tcW w:w="2268" w:type="dxa"/>
          </w:tcPr>
          <w:p w14:paraId="1192A877" w14:textId="77777777" w:rsidR="001D6079" w:rsidRPr="0040482C" w:rsidRDefault="001D6079" w:rsidP="001D6079">
            <w:pPr>
              <w:pStyle w:val="TableText10"/>
            </w:pPr>
            <w:r w:rsidRPr="0040482C">
              <w:t>motorcycle</w:t>
            </w:r>
          </w:p>
        </w:tc>
        <w:tc>
          <w:tcPr>
            <w:tcW w:w="1865" w:type="dxa"/>
          </w:tcPr>
          <w:p w14:paraId="4255A7DD" w14:textId="77777777" w:rsidR="001D6079" w:rsidRPr="0040482C" w:rsidRDefault="001D6079" w:rsidP="001D6079">
            <w:pPr>
              <w:pStyle w:val="TableText10"/>
            </w:pPr>
            <w:r w:rsidRPr="0040482C">
              <w:t>electrically powered motor</w:t>
            </w:r>
          </w:p>
        </w:tc>
        <w:tc>
          <w:tcPr>
            <w:tcW w:w="1276" w:type="dxa"/>
          </w:tcPr>
          <w:p w14:paraId="6B159077" w14:textId="77777777" w:rsidR="001D6079" w:rsidRPr="0040482C" w:rsidRDefault="001D6079" w:rsidP="001D6079">
            <w:pPr>
              <w:pStyle w:val="TableText10"/>
            </w:pPr>
            <w:r w:rsidRPr="0040482C">
              <w:t>entitled</w:t>
            </w:r>
          </w:p>
        </w:tc>
      </w:tr>
      <w:tr w:rsidR="001D6079" w:rsidRPr="0040482C" w14:paraId="46348029" w14:textId="77777777" w:rsidTr="001D6079">
        <w:trPr>
          <w:cantSplit/>
        </w:trPr>
        <w:tc>
          <w:tcPr>
            <w:tcW w:w="1200" w:type="dxa"/>
          </w:tcPr>
          <w:p w14:paraId="75A3424C" w14:textId="77777777" w:rsidR="001D6079" w:rsidRPr="0040482C" w:rsidRDefault="001D6079" w:rsidP="001D6079">
            <w:pPr>
              <w:pStyle w:val="TableNumbered"/>
              <w:numPr>
                <w:ilvl w:val="0"/>
                <w:numId w:val="0"/>
              </w:numPr>
              <w:ind w:left="360" w:hanging="360"/>
            </w:pPr>
            <w:r w:rsidRPr="0040482C">
              <w:t xml:space="preserve">25 </w:t>
            </w:r>
          </w:p>
        </w:tc>
        <w:tc>
          <w:tcPr>
            <w:tcW w:w="1154" w:type="dxa"/>
          </w:tcPr>
          <w:p w14:paraId="1333489C" w14:textId="77777777" w:rsidR="001D6079" w:rsidRPr="0040482C" w:rsidRDefault="001D6079" w:rsidP="001D6079">
            <w:pPr>
              <w:pStyle w:val="TableText10"/>
            </w:pPr>
            <w:r w:rsidRPr="0040482C">
              <w:t>10</w:t>
            </w:r>
          </w:p>
        </w:tc>
        <w:tc>
          <w:tcPr>
            <w:tcW w:w="2268" w:type="dxa"/>
          </w:tcPr>
          <w:p w14:paraId="31754AD6" w14:textId="77777777" w:rsidR="001D6079" w:rsidRPr="0040482C" w:rsidRDefault="001D6079" w:rsidP="001D6079">
            <w:pPr>
              <w:pStyle w:val="TableText10"/>
            </w:pPr>
            <w:r w:rsidRPr="0040482C">
              <w:t>firefighting vehicle</w:t>
            </w:r>
          </w:p>
        </w:tc>
        <w:tc>
          <w:tcPr>
            <w:tcW w:w="1865" w:type="dxa"/>
          </w:tcPr>
          <w:p w14:paraId="7BC4B620" w14:textId="77777777" w:rsidR="001D6079" w:rsidRPr="0040482C" w:rsidRDefault="001D6079" w:rsidP="001D6079">
            <w:pPr>
              <w:pStyle w:val="TableText10"/>
            </w:pPr>
          </w:p>
        </w:tc>
        <w:tc>
          <w:tcPr>
            <w:tcW w:w="1276" w:type="dxa"/>
          </w:tcPr>
          <w:p w14:paraId="448BE748" w14:textId="77777777" w:rsidR="001D6079" w:rsidRPr="0040482C" w:rsidRDefault="001D6079" w:rsidP="001D6079">
            <w:pPr>
              <w:pStyle w:val="TableText10"/>
            </w:pPr>
            <w:r w:rsidRPr="0040482C">
              <w:t>not entitled</w:t>
            </w:r>
          </w:p>
        </w:tc>
      </w:tr>
      <w:tr w:rsidR="001D6079" w:rsidRPr="0040482C" w14:paraId="07929092" w14:textId="77777777" w:rsidTr="001D6079">
        <w:trPr>
          <w:cantSplit/>
        </w:trPr>
        <w:tc>
          <w:tcPr>
            <w:tcW w:w="1200" w:type="dxa"/>
          </w:tcPr>
          <w:p w14:paraId="672577EA" w14:textId="77777777" w:rsidR="001D6079" w:rsidRPr="0040482C" w:rsidRDefault="001D6079" w:rsidP="001D6079">
            <w:pPr>
              <w:pStyle w:val="TableNumbered"/>
              <w:numPr>
                <w:ilvl w:val="0"/>
                <w:numId w:val="0"/>
              </w:numPr>
              <w:ind w:left="360" w:hanging="360"/>
            </w:pPr>
            <w:r w:rsidRPr="0040482C">
              <w:t xml:space="preserve">26 </w:t>
            </w:r>
          </w:p>
        </w:tc>
        <w:tc>
          <w:tcPr>
            <w:tcW w:w="1154" w:type="dxa"/>
          </w:tcPr>
          <w:p w14:paraId="23762FBD" w14:textId="77777777" w:rsidR="001D6079" w:rsidRPr="0040482C" w:rsidRDefault="001D6079" w:rsidP="001D6079">
            <w:pPr>
              <w:pStyle w:val="TableText10"/>
            </w:pPr>
            <w:r w:rsidRPr="0040482C">
              <w:t>10</w:t>
            </w:r>
          </w:p>
        </w:tc>
        <w:tc>
          <w:tcPr>
            <w:tcW w:w="2268" w:type="dxa"/>
          </w:tcPr>
          <w:p w14:paraId="08123670" w14:textId="77777777" w:rsidR="001D6079" w:rsidRPr="0040482C" w:rsidRDefault="001D6079" w:rsidP="001D6079">
            <w:pPr>
              <w:pStyle w:val="TableText10"/>
            </w:pPr>
            <w:r w:rsidRPr="0040482C">
              <w:t>firefighting vehicle</w:t>
            </w:r>
          </w:p>
        </w:tc>
        <w:tc>
          <w:tcPr>
            <w:tcW w:w="1865" w:type="dxa"/>
          </w:tcPr>
          <w:p w14:paraId="3DBF12D2" w14:textId="77777777" w:rsidR="001D6079" w:rsidRPr="0040482C" w:rsidRDefault="001D6079" w:rsidP="001D6079">
            <w:pPr>
              <w:pStyle w:val="TableText10"/>
            </w:pPr>
          </w:p>
        </w:tc>
        <w:tc>
          <w:tcPr>
            <w:tcW w:w="1276" w:type="dxa"/>
          </w:tcPr>
          <w:p w14:paraId="6641DB9A" w14:textId="77777777" w:rsidR="001D6079" w:rsidRPr="0040482C" w:rsidRDefault="001D6079" w:rsidP="001D6079">
            <w:pPr>
              <w:pStyle w:val="TableText10"/>
            </w:pPr>
            <w:r w:rsidRPr="0040482C">
              <w:t>entitled</w:t>
            </w:r>
          </w:p>
        </w:tc>
      </w:tr>
      <w:tr w:rsidR="001D6079" w:rsidRPr="0040482C" w14:paraId="5C57B0A6" w14:textId="77777777" w:rsidTr="001D6079">
        <w:trPr>
          <w:cantSplit/>
        </w:trPr>
        <w:tc>
          <w:tcPr>
            <w:tcW w:w="1200" w:type="dxa"/>
          </w:tcPr>
          <w:p w14:paraId="1CC0DA8D" w14:textId="77777777" w:rsidR="001D6079" w:rsidRPr="0040482C" w:rsidRDefault="001D6079" w:rsidP="001D6079">
            <w:pPr>
              <w:pStyle w:val="TableNumbered"/>
              <w:numPr>
                <w:ilvl w:val="0"/>
                <w:numId w:val="0"/>
              </w:numPr>
              <w:ind w:left="360" w:hanging="360"/>
            </w:pPr>
            <w:r w:rsidRPr="0040482C">
              <w:t xml:space="preserve">27 </w:t>
            </w:r>
          </w:p>
        </w:tc>
        <w:tc>
          <w:tcPr>
            <w:tcW w:w="1154" w:type="dxa"/>
          </w:tcPr>
          <w:p w14:paraId="2D8D1ED4" w14:textId="77777777" w:rsidR="001D6079" w:rsidRPr="0040482C" w:rsidRDefault="001D6079" w:rsidP="001D6079">
            <w:pPr>
              <w:pStyle w:val="TableText10"/>
            </w:pPr>
            <w:r w:rsidRPr="0040482C">
              <w:t>11</w:t>
            </w:r>
          </w:p>
        </w:tc>
        <w:tc>
          <w:tcPr>
            <w:tcW w:w="2268" w:type="dxa"/>
          </w:tcPr>
          <w:p w14:paraId="19E4690F" w14:textId="77777777" w:rsidR="001D6079" w:rsidRPr="0040482C" w:rsidRDefault="001D6079" w:rsidP="001D6079">
            <w:pPr>
              <w:pStyle w:val="TableText10"/>
            </w:pPr>
            <w:r w:rsidRPr="0040482C">
              <w:t>undertaker’s vehicle</w:t>
            </w:r>
          </w:p>
        </w:tc>
        <w:tc>
          <w:tcPr>
            <w:tcW w:w="1865" w:type="dxa"/>
          </w:tcPr>
          <w:p w14:paraId="6A9F2735" w14:textId="77777777" w:rsidR="001D6079" w:rsidRPr="0040482C" w:rsidRDefault="001D6079" w:rsidP="001D6079">
            <w:pPr>
              <w:pStyle w:val="TableText10"/>
            </w:pPr>
          </w:p>
        </w:tc>
        <w:tc>
          <w:tcPr>
            <w:tcW w:w="1276" w:type="dxa"/>
          </w:tcPr>
          <w:p w14:paraId="76B01662" w14:textId="77777777" w:rsidR="001D6079" w:rsidRPr="0040482C" w:rsidRDefault="001D6079" w:rsidP="001D6079">
            <w:pPr>
              <w:pStyle w:val="TableText10"/>
            </w:pPr>
            <w:r w:rsidRPr="0040482C">
              <w:t>not entitled</w:t>
            </w:r>
          </w:p>
        </w:tc>
      </w:tr>
      <w:tr w:rsidR="001D6079" w:rsidRPr="0040482C" w14:paraId="6F20E9E1" w14:textId="77777777" w:rsidTr="001D6079">
        <w:trPr>
          <w:cantSplit/>
        </w:trPr>
        <w:tc>
          <w:tcPr>
            <w:tcW w:w="1200" w:type="dxa"/>
          </w:tcPr>
          <w:p w14:paraId="2B20C4AB" w14:textId="77777777" w:rsidR="001D6079" w:rsidRPr="0040482C" w:rsidRDefault="001D6079" w:rsidP="001D6079">
            <w:pPr>
              <w:pStyle w:val="TableNumbered"/>
              <w:numPr>
                <w:ilvl w:val="0"/>
                <w:numId w:val="0"/>
              </w:numPr>
              <w:ind w:left="360" w:hanging="360"/>
            </w:pPr>
            <w:r w:rsidRPr="0040482C">
              <w:t xml:space="preserve">28 </w:t>
            </w:r>
          </w:p>
        </w:tc>
        <w:tc>
          <w:tcPr>
            <w:tcW w:w="1154" w:type="dxa"/>
          </w:tcPr>
          <w:p w14:paraId="2325B155" w14:textId="77777777" w:rsidR="001D6079" w:rsidRPr="0040482C" w:rsidRDefault="001D6079" w:rsidP="001D6079">
            <w:pPr>
              <w:pStyle w:val="TableText10"/>
            </w:pPr>
            <w:r w:rsidRPr="0040482C">
              <w:t>11</w:t>
            </w:r>
          </w:p>
        </w:tc>
        <w:tc>
          <w:tcPr>
            <w:tcW w:w="2268" w:type="dxa"/>
          </w:tcPr>
          <w:p w14:paraId="7810E237" w14:textId="77777777" w:rsidR="001D6079" w:rsidRPr="0040482C" w:rsidRDefault="001D6079" w:rsidP="001D6079">
            <w:pPr>
              <w:pStyle w:val="TableText10"/>
            </w:pPr>
            <w:r w:rsidRPr="0040482C">
              <w:t>undertaker’s vehicle</w:t>
            </w:r>
          </w:p>
        </w:tc>
        <w:tc>
          <w:tcPr>
            <w:tcW w:w="1865" w:type="dxa"/>
          </w:tcPr>
          <w:p w14:paraId="3AC35E1A" w14:textId="77777777" w:rsidR="001D6079" w:rsidRPr="0040482C" w:rsidRDefault="001D6079" w:rsidP="001D6079">
            <w:pPr>
              <w:pStyle w:val="TableText10"/>
            </w:pPr>
          </w:p>
        </w:tc>
        <w:tc>
          <w:tcPr>
            <w:tcW w:w="1276" w:type="dxa"/>
          </w:tcPr>
          <w:p w14:paraId="73FDEAAD" w14:textId="77777777" w:rsidR="001D6079" w:rsidRPr="0040482C" w:rsidRDefault="001D6079" w:rsidP="001D6079">
            <w:pPr>
              <w:pStyle w:val="TableText10"/>
            </w:pPr>
            <w:r w:rsidRPr="0040482C">
              <w:t>entitled</w:t>
            </w:r>
          </w:p>
        </w:tc>
      </w:tr>
      <w:tr w:rsidR="001D6079" w:rsidRPr="0040482C" w14:paraId="40DB830A" w14:textId="77777777" w:rsidTr="001D6079">
        <w:trPr>
          <w:cantSplit/>
        </w:trPr>
        <w:tc>
          <w:tcPr>
            <w:tcW w:w="1200" w:type="dxa"/>
          </w:tcPr>
          <w:p w14:paraId="5CB94077" w14:textId="77777777" w:rsidR="001D6079" w:rsidRPr="0040482C" w:rsidRDefault="001D6079" w:rsidP="001D6079">
            <w:pPr>
              <w:pStyle w:val="TableNumbered"/>
              <w:numPr>
                <w:ilvl w:val="0"/>
                <w:numId w:val="0"/>
              </w:numPr>
              <w:ind w:left="360" w:hanging="360"/>
            </w:pPr>
            <w:r w:rsidRPr="0040482C">
              <w:t xml:space="preserve">29 </w:t>
            </w:r>
          </w:p>
        </w:tc>
        <w:tc>
          <w:tcPr>
            <w:tcW w:w="1154" w:type="dxa"/>
          </w:tcPr>
          <w:p w14:paraId="49EB0C71" w14:textId="77777777" w:rsidR="001D6079" w:rsidRPr="0040482C" w:rsidRDefault="001D6079" w:rsidP="001D6079">
            <w:pPr>
              <w:pStyle w:val="TableText10"/>
            </w:pPr>
            <w:r w:rsidRPr="0040482C">
              <w:t>12</w:t>
            </w:r>
          </w:p>
        </w:tc>
        <w:tc>
          <w:tcPr>
            <w:tcW w:w="2268" w:type="dxa"/>
          </w:tcPr>
          <w:p w14:paraId="59492484" w14:textId="77777777" w:rsidR="001D6079" w:rsidRPr="0040482C" w:rsidRDefault="001D6079" w:rsidP="001D6079">
            <w:pPr>
              <w:pStyle w:val="TableText10"/>
            </w:pPr>
            <w:r w:rsidRPr="0040482C">
              <w:t>breakdown vehicle</w:t>
            </w:r>
          </w:p>
        </w:tc>
        <w:tc>
          <w:tcPr>
            <w:tcW w:w="1865" w:type="dxa"/>
          </w:tcPr>
          <w:p w14:paraId="660AB125" w14:textId="77777777" w:rsidR="001D6079" w:rsidRPr="0040482C" w:rsidRDefault="001D6079" w:rsidP="001D6079">
            <w:pPr>
              <w:pStyle w:val="TableText10"/>
            </w:pPr>
          </w:p>
        </w:tc>
        <w:tc>
          <w:tcPr>
            <w:tcW w:w="1276" w:type="dxa"/>
          </w:tcPr>
          <w:p w14:paraId="433AC670" w14:textId="77777777" w:rsidR="001D6079" w:rsidRPr="0040482C" w:rsidRDefault="001D6079" w:rsidP="001D6079">
            <w:pPr>
              <w:pStyle w:val="TableText10"/>
            </w:pPr>
            <w:r w:rsidRPr="0040482C">
              <w:t>not entitled</w:t>
            </w:r>
          </w:p>
        </w:tc>
      </w:tr>
      <w:tr w:rsidR="001D6079" w:rsidRPr="0040482C" w14:paraId="063DB9A1" w14:textId="77777777" w:rsidTr="001D6079">
        <w:trPr>
          <w:cantSplit/>
        </w:trPr>
        <w:tc>
          <w:tcPr>
            <w:tcW w:w="1200" w:type="dxa"/>
          </w:tcPr>
          <w:p w14:paraId="403EF3FE" w14:textId="77777777" w:rsidR="001D6079" w:rsidRPr="0040482C" w:rsidRDefault="001D6079" w:rsidP="001D6079">
            <w:pPr>
              <w:pStyle w:val="TableNumbered"/>
              <w:numPr>
                <w:ilvl w:val="0"/>
                <w:numId w:val="0"/>
              </w:numPr>
              <w:ind w:left="360" w:hanging="360"/>
            </w:pPr>
            <w:r w:rsidRPr="0040482C">
              <w:t xml:space="preserve">30 </w:t>
            </w:r>
          </w:p>
        </w:tc>
        <w:tc>
          <w:tcPr>
            <w:tcW w:w="1154" w:type="dxa"/>
          </w:tcPr>
          <w:p w14:paraId="4A233D8D" w14:textId="77777777" w:rsidR="001D6079" w:rsidRPr="0040482C" w:rsidRDefault="001D6079" w:rsidP="001D6079">
            <w:pPr>
              <w:pStyle w:val="TableText10"/>
            </w:pPr>
            <w:r w:rsidRPr="0040482C">
              <w:t>12</w:t>
            </w:r>
          </w:p>
        </w:tc>
        <w:tc>
          <w:tcPr>
            <w:tcW w:w="2268" w:type="dxa"/>
          </w:tcPr>
          <w:p w14:paraId="44FD21BD" w14:textId="77777777" w:rsidR="001D6079" w:rsidRPr="0040482C" w:rsidRDefault="001D6079" w:rsidP="001D6079">
            <w:pPr>
              <w:pStyle w:val="TableText10"/>
              <w:rPr>
                <w:b/>
              </w:rPr>
            </w:pPr>
            <w:r w:rsidRPr="0040482C">
              <w:t>breakdown vehicle</w:t>
            </w:r>
          </w:p>
        </w:tc>
        <w:tc>
          <w:tcPr>
            <w:tcW w:w="1865" w:type="dxa"/>
          </w:tcPr>
          <w:p w14:paraId="3E042F7E" w14:textId="77777777" w:rsidR="001D6079" w:rsidRPr="0040482C" w:rsidRDefault="001D6079" w:rsidP="001D6079">
            <w:pPr>
              <w:pStyle w:val="TableText10"/>
            </w:pPr>
          </w:p>
        </w:tc>
        <w:tc>
          <w:tcPr>
            <w:tcW w:w="1276" w:type="dxa"/>
          </w:tcPr>
          <w:p w14:paraId="419EDAD3" w14:textId="77777777" w:rsidR="001D6079" w:rsidRPr="0040482C" w:rsidRDefault="001D6079" w:rsidP="001D6079">
            <w:pPr>
              <w:pStyle w:val="TableText10"/>
            </w:pPr>
            <w:r w:rsidRPr="0040482C">
              <w:t>entitled</w:t>
            </w:r>
          </w:p>
        </w:tc>
      </w:tr>
      <w:tr w:rsidR="001D6079" w:rsidRPr="0040482C" w14:paraId="58C18188" w14:textId="77777777" w:rsidTr="001D6079">
        <w:trPr>
          <w:cantSplit/>
        </w:trPr>
        <w:tc>
          <w:tcPr>
            <w:tcW w:w="1200" w:type="dxa"/>
          </w:tcPr>
          <w:p w14:paraId="09071B53" w14:textId="77777777" w:rsidR="001D6079" w:rsidRPr="0040482C" w:rsidRDefault="001D6079" w:rsidP="001D6079">
            <w:pPr>
              <w:pStyle w:val="TableNumbered"/>
              <w:numPr>
                <w:ilvl w:val="0"/>
                <w:numId w:val="0"/>
              </w:numPr>
              <w:ind w:left="360" w:hanging="360"/>
            </w:pPr>
            <w:r w:rsidRPr="0040482C">
              <w:t xml:space="preserve">31 </w:t>
            </w:r>
          </w:p>
        </w:tc>
        <w:tc>
          <w:tcPr>
            <w:tcW w:w="1154" w:type="dxa"/>
          </w:tcPr>
          <w:p w14:paraId="70AFFDB7" w14:textId="77777777" w:rsidR="001D6079" w:rsidRPr="0040482C" w:rsidRDefault="001D6079" w:rsidP="001D6079">
            <w:pPr>
              <w:pStyle w:val="TableText10"/>
            </w:pPr>
            <w:r w:rsidRPr="0040482C">
              <w:t>14</w:t>
            </w:r>
          </w:p>
        </w:tc>
        <w:tc>
          <w:tcPr>
            <w:tcW w:w="2268" w:type="dxa"/>
          </w:tcPr>
          <w:p w14:paraId="2AA54906" w14:textId="77777777" w:rsidR="001D6079" w:rsidRPr="0040482C" w:rsidRDefault="001D6079" w:rsidP="001D6079">
            <w:pPr>
              <w:pStyle w:val="TableText10"/>
            </w:pPr>
            <w:r w:rsidRPr="0040482C">
              <w:t>miscellaneous vehicle</w:t>
            </w:r>
          </w:p>
        </w:tc>
        <w:tc>
          <w:tcPr>
            <w:tcW w:w="1865" w:type="dxa"/>
          </w:tcPr>
          <w:p w14:paraId="21EF2241" w14:textId="77777777" w:rsidR="001D6079" w:rsidRPr="0040482C" w:rsidRDefault="001D6079" w:rsidP="001D6079">
            <w:pPr>
              <w:pStyle w:val="TableText10"/>
            </w:pPr>
          </w:p>
        </w:tc>
        <w:tc>
          <w:tcPr>
            <w:tcW w:w="1276" w:type="dxa"/>
          </w:tcPr>
          <w:p w14:paraId="6E01DE7E" w14:textId="77777777" w:rsidR="001D6079" w:rsidRPr="0040482C" w:rsidRDefault="001D6079" w:rsidP="001D6079">
            <w:pPr>
              <w:pStyle w:val="TableText10"/>
            </w:pPr>
            <w:r w:rsidRPr="0040482C">
              <w:t>not entitled</w:t>
            </w:r>
          </w:p>
        </w:tc>
      </w:tr>
      <w:tr w:rsidR="001D6079" w:rsidRPr="0040482C" w14:paraId="61842548" w14:textId="77777777" w:rsidTr="001D6079">
        <w:trPr>
          <w:cantSplit/>
        </w:trPr>
        <w:tc>
          <w:tcPr>
            <w:tcW w:w="1200" w:type="dxa"/>
          </w:tcPr>
          <w:p w14:paraId="12931EB1" w14:textId="77777777" w:rsidR="001D6079" w:rsidRPr="0040482C" w:rsidRDefault="001D6079" w:rsidP="001D6079">
            <w:pPr>
              <w:pStyle w:val="TableNumbered"/>
              <w:numPr>
                <w:ilvl w:val="0"/>
                <w:numId w:val="0"/>
              </w:numPr>
              <w:ind w:left="360" w:hanging="360"/>
            </w:pPr>
            <w:r w:rsidRPr="0040482C">
              <w:t xml:space="preserve">32 </w:t>
            </w:r>
          </w:p>
        </w:tc>
        <w:tc>
          <w:tcPr>
            <w:tcW w:w="1154" w:type="dxa"/>
          </w:tcPr>
          <w:p w14:paraId="310D2F70" w14:textId="77777777" w:rsidR="001D6079" w:rsidRPr="0040482C" w:rsidRDefault="001D6079" w:rsidP="001D6079">
            <w:pPr>
              <w:pStyle w:val="TableText10"/>
            </w:pPr>
            <w:r w:rsidRPr="0040482C">
              <w:t>14</w:t>
            </w:r>
          </w:p>
        </w:tc>
        <w:tc>
          <w:tcPr>
            <w:tcW w:w="2268" w:type="dxa"/>
          </w:tcPr>
          <w:p w14:paraId="61E1ABEF" w14:textId="77777777" w:rsidR="001D6079" w:rsidRPr="0040482C" w:rsidRDefault="001D6079" w:rsidP="001D6079">
            <w:pPr>
              <w:pStyle w:val="TableText10"/>
            </w:pPr>
            <w:r w:rsidRPr="0040482C">
              <w:t>miscellaneous vehicle</w:t>
            </w:r>
          </w:p>
        </w:tc>
        <w:tc>
          <w:tcPr>
            <w:tcW w:w="1865" w:type="dxa"/>
          </w:tcPr>
          <w:p w14:paraId="298DDE45" w14:textId="77777777" w:rsidR="001D6079" w:rsidRPr="0040482C" w:rsidRDefault="001D6079" w:rsidP="001D6079">
            <w:pPr>
              <w:pStyle w:val="TableText10"/>
            </w:pPr>
          </w:p>
        </w:tc>
        <w:tc>
          <w:tcPr>
            <w:tcW w:w="1276" w:type="dxa"/>
          </w:tcPr>
          <w:p w14:paraId="4294CCDD" w14:textId="77777777" w:rsidR="001D6079" w:rsidRPr="0040482C" w:rsidRDefault="001D6079" w:rsidP="001D6079">
            <w:pPr>
              <w:pStyle w:val="TableText10"/>
            </w:pPr>
            <w:r w:rsidRPr="0040482C">
              <w:t>entitled</w:t>
            </w:r>
          </w:p>
        </w:tc>
      </w:tr>
      <w:tr w:rsidR="001D6079" w:rsidRPr="0040482C" w14:paraId="1042E2BF" w14:textId="77777777" w:rsidTr="001D6079">
        <w:trPr>
          <w:cantSplit/>
        </w:trPr>
        <w:tc>
          <w:tcPr>
            <w:tcW w:w="1200" w:type="dxa"/>
          </w:tcPr>
          <w:p w14:paraId="259723AF" w14:textId="77777777" w:rsidR="001D6079" w:rsidRPr="0040482C" w:rsidRDefault="001D6079" w:rsidP="001D6079">
            <w:pPr>
              <w:pStyle w:val="TableNumbered"/>
              <w:numPr>
                <w:ilvl w:val="0"/>
                <w:numId w:val="0"/>
              </w:numPr>
              <w:ind w:left="360" w:hanging="360"/>
            </w:pPr>
            <w:r w:rsidRPr="0040482C">
              <w:lastRenderedPageBreak/>
              <w:t xml:space="preserve">33 </w:t>
            </w:r>
          </w:p>
        </w:tc>
        <w:tc>
          <w:tcPr>
            <w:tcW w:w="1154" w:type="dxa"/>
          </w:tcPr>
          <w:p w14:paraId="3240B2F6" w14:textId="77777777" w:rsidR="001D6079" w:rsidRPr="0040482C" w:rsidRDefault="001D6079" w:rsidP="001D6079">
            <w:pPr>
              <w:pStyle w:val="TableText10"/>
            </w:pPr>
            <w:r w:rsidRPr="0040482C">
              <w:t>15</w:t>
            </w:r>
          </w:p>
        </w:tc>
        <w:tc>
          <w:tcPr>
            <w:tcW w:w="2268" w:type="dxa"/>
          </w:tcPr>
          <w:p w14:paraId="771E5EA8" w14:textId="77777777" w:rsidR="001D6079" w:rsidRPr="0040482C" w:rsidRDefault="001D6079" w:rsidP="001D6079">
            <w:pPr>
              <w:pStyle w:val="TableText10"/>
            </w:pPr>
            <w:r w:rsidRPr="0040482C">
              <w:t>primary producer’s tractor</w:t>
            </w:r>
          </w:p>
        </w:tc>
        <w:tc>
          <w:tcPr>
            <w:tcW w:w="1865" w:type="dxa"/>
          </w:tcPr>
          <w:p w14:paraId="63224452" w14:textId="77777777" w:rsidR="001D6079" w:rsidRPr="0040482C" w:rsidRDefault="001D6079" w:rsidP="001D6079">
            <w:pPr>
              <w:pStyle w:val="TableText10"/>
            </w:pPr>
          </w:p>
        </w:tc>
        <w:tc>
          <w:tcPr>
            <w:tcW w:w="1276" w:type="dxa"/>
          </w:tcPr>
          <w:p w14:paraId="34A3F035" w14:textId="77777777" w:rsidR="001D6079" w:rsidRPr="0040482C" w:rsidRDefault="001D6079" w:rsidP="001D6079">
            <w:pPr>
              <w:pStyle w:val="TableText10"/>
            </w:pPr>
            <w:r w:rsidRPr="0040482C">
              <w:t>not entitled</w:t>
            </w:r>
          </w:p>
        </w:tc>
      </w:tr>
      <w:tr w:rsidR="001D6079" w:rsidRPr="0040482C" w14:paraId="00811B65" w14:textId="77777777" w:rsidTr="001D6079">
        <w:trPr>
          <w:cantSplit/>
        </w:trPr>
        <w:tc>
          <w:tcPr>
            <w:tcW w:w="1200" w:type="dxa"/>
          </w:tcPr>
          <w:p w14:paraId="7101636B" w14:textId="77777777" w:rsidR="001D6079" w:rsidRPr="0040482C" w:rsidRDefault="001D6079" w:rsidP="001D6079">
            <w:pPr>
              <w:pStyle w:val="TableNumbered"/>
              <w:numPr>
                <w:ilvl w:val="0"/>
                <w:numId w:val="0"/>
              </w:numPr>
              <w:ind w:left="360" w:hanging="360"/>
            </w:pPr>
            <w:r w:rsidRPr="0040482C">
              <w:t xml:space="preserve">34 </w:t>
            </w:r>
          </w:p>
        </w:tc>
        <w:tc>
          <w:tcPr>
            <w:tcW w:w="1154" w:type="dxa"/>
          </w:tcPr>
          <w:p w14:paraId="5D4FFC40" w14:textId="77777777" w:rsidR="001D6079" w:rsidRPr="0040482C" w:rsidRDefault="001D6079" w:rsidP="001D6079">
            <w:pPr>
              <w:pStyle w:val="TableText10"/>
            </w:pPr>
            <w:r w:rsidRPr="0040482C">
              <w:t>15</w:t>
            </w:r>
          </w:p>
        </w:tc>
        <w:tc>
          <w:tcPr>
            <w:tcW w:w="2268" w:type="dxa"/>
          </w:tcPr>
          <w:p w14:paraId="608D112B" w14:textId="77777777" w:rsidR="001D6079" w:rsidRPr="0040482C" w:rsidRDefault="001D6079" w:rsidP="001D6079">
            <w:pPr>
              <w:pStyle w:val="TableText10"/>
            </w:pPr>
            <w:r w:rsidRPr="0040482C">
              <w:t>primary producer’s tractor</w:t>
            </w:r>
          </w:p>
        </w:tc>
        <w:tc>
          <w:tcPr>
            <w:tcW w:w="1865" w:type="dxa"/>
          </w:tcPr>
          <w:p w14:paraId="1ED88A5F" w14:textId="77777777" w:rsidR="001D6079" w:rsidRPr="0040482C" w:rsidRDefault="001D6079" w:rsidP="001D6079">
            <w:pPr>
              <w:pStyle w:val="TableText10"/>
            </w:pPr>
          </w:p>
        </w:tc>
        <w:tc>
          <w:tcPr>
            <w:tcW w:w="1276" w:type="dxa"/>
          </w:tcPr>
          <w:p w14:paraId="744119A1" w14:textId="77777777" w:rsidR="001D6079" w:rsidRPr="0040482C" w:rsidRDefault="001D6079" w:rsidP="001D6079">
            <w:pPr>
              <w:pStyle w:val="TableText10"/>
            </w:pPr>
            <w:r w:rsidRPr="0040482C">
              <w:t>entitled</w:t>
            </w:r>
          </w:p>
        </w:tc>
      </w:tr>
      <w:tr w:rsidR="001D6079" w:rsidRPr="0040482C" w14:paraId="4DC1496F" w14:textId="77777777" w:rsidTr="001D6079">
        <w:trPr>
          <w:cantSplit/>
        </w:trPr>
        <w:tc>
          <w:tcPr>
            <w:tcW w:w="1200" w:type="dxa"/>
          </w:tcPr>
          <w:p w14:paraId="7404A65D" w14:textId="77777777" w:rsidR="001D6079" w:rsidRPr="0040482C" w:rsidRDefault="001D6079" w:rsidP="001D6079">
            <w:pPr>
              <w:pStyle w:val="TableNumbered"/>
              <w:numPr>
                <w:ilvl w:val="0"/>
                <w:numId w:val="0"/>
              </w:numPr>
              <w:ind w:left="360" w:hanging="360"/>
            </w:pPr>
            <w:r w:rsidRPr="0040482C">
              <w:t xml:space="preserve">35 </w:t>
            </w:r>
          </w:p>
        </w:tc>
        <w:tc>
          <w:tcPr>
            <w:tcW w:w="1154" w:type="dxa"/>
          </w:tcPr>
          <w:p w14:paraId="716F3239" w14:textId="77777777" w:rsidR="001D6079" w:rsidRPr="0040482C" w:rsidRDefault="001D6079" w:rsidP="001D6079">
            <w:pPr>
              <w:pStyle w:val="TableText10"/>
            </w:pPr>
            <w:r w:rsidRPr="0040482C">
              <w:t>16</w:t>
            </w:r>
          </w:p>
        </w:tc>
        <w:tc>
          <w:tcPr>
            <w:tcW w:w="2268" w:type="dxa"/>
          </w:tcPr>
          <w:p w14:paraId="51E6A46D" w14:textId="77777777" w:rsidR="001D6079" w:rsidRPr="0040482C" w:rsidRDefault="001D6079" w:rsidP="001D6079">
            <w:pPr>
              <w:pStyle w:val="TableText10"/>
            </w:pPr>
            <w:r w:rsidRPr="0040482C">
              <w:t>mobile crane</w:t>
            </w:r>
          </w:p>
        </w:tc>
        <w:tc>
          <w:tcPr>
            <w:tcW w:w="1865" w:type="dxa"/>
          </w:tcPr>
          <w:p w14:paraId="183EBCD9" w14:textId="77777777" w:rsidR="001D6079" w:rsidRPr="0040482C" w:rsidRDefault="001D6079" w:rsidP="001D6079">
            <w:pPr>
              <w:pStyle w:val="TableText10"/>
            </w:pPr>
          </w:p>
        </w:tc>
        <w:tc>
          <w:tcPr>
            <w:tcW w:w="1276" w:type="dxa"/>
          </w:tcPr>
          <w:p w14:paraId="39DF7CBE" w14:textId="77777777" w:rsidR="001D6079" w:rsidRPr="0040482C" w:rsidRDefault="001D6079" w:rsidP="001D6079">
            <w:pPr>
              <w:pStyle w:val="TableText10"/>
            </w:pPr>
            <w:r w:rsidRPr="0040482C">
              <w:t>not entitled</w:t>
            </w:r>
          </w:p>
        </w:tc>
      </w:tr>
      <w:tr w:rsidR="001D6079" w:rsidRPr="0040482C" w14:paraId="446B2FA8" w14:textId="77777777" w:rsidTr="001D6079">
        <w:trPr>
          <w:cantSplit/>
        </w:trPr>
        <w:tc>
          <w:tcPr>
            <w:tcW w:w="1200" w:type="dxa"/>
          </w:tcPr>
          <w:p w14:paraId="0B2AFAF3" w14:textId="77777777" w:rsidR="001D6079" w:rsidRPr="0040482C" w:rsidRDefault="001D6079" w:rsidP="001D6079">
            <w:pPr>
              <w:pStyle w:val="TableNumbered"/>
              <w:numPr>
                <w:ilvl w:val="0"/>
                <w:numId w:val="0"/>
              </w:numPr>
              <w:ind w:left="360" w:hanging="360"/>
            </w:pPr>
            <w:r w:rsidRPr="0040482C">
              <w:t xml:space="preserve">36 </w:t>
            </w:r>
          </w:p>
        </w:tc>
        <w:tc>
          <w:tcPr>
            <w:tcW w:w="1154" w:type="dxa"/>
          </w:tcPr>
          <w:p w14:paraId="0AE9E4AB" w14:textId="77777777" w:rsidR="001D6079" w:rsidRPr="0040482C" w:rsidRDefault="001D6079" w:rsidP="001D6079">
            <w:pPr>
              <w:pStyle w:val="TableText10"/>
            </w:pPr>
            <w:r w:rsidRPr="0040482C">
              <w:t>16</w:t>
            </w:r>
          </w:p>
        </w:tc>
        <w:tc>
          <w:tcPr>
            <w:tcW w:w="2268" w:type="dxa"/>
          </w:tcPr>
          <w:p w14:paraId="49F623ED" w14:textId="77777777" w:rsidR="001D6079" w:rsidRPr="0040482C" w:rsidRDefault="001D6079" w:rsidP="001D6079">
            <w:pPr>
              <w:pStyle w:val="TableText10"/>
            </w:pPr>
            <w:r w:rsidRPr="0040482C">
              <w:t>mobile crane</w:t>
            </w:r>
          </w:p>
        </w:tc>
        <w:tc>
          <w:tcPr>
            <w:tcW w:w="1865" w:type="dxa"/>
          </w:tcPr>
          <w:p w14:paraId="02CD1098" w14:textId="77777777" w:rsidR="001D6079" w:rsidRPr="0040482C" w:rsidRDefault="001D6079" w:rsidP="001D6079">
            <w:pPr>
              <w:pStyle w:val="TableText10"/>
            </w:pPr>
          </w:p>
        </w:tc>
        <w:tc>
          <w:tcPr>
            <w:tcW w:w="1276" w:type="dxa"/>
          </w:tcPr>
          <w:p w14:paraId="1002545D" w14:textId="77777777" w:rsidR="001D6079" w:rsidRPr="0040482C" w:rsidRDefault="001D6079" w:rsidP="001D6079">
            <w:pPr>
              <w:pStyle w:val="TableText10"/>
            </w:pPr>
            <w:r w:rsidRPr="0040482C">
              <w:t>entitled</w:t>
            </w:r>
          </w:p>
        </w:tc>
      </w:tr>
      <w:tr w:rsidR="001D6079" w:rsidRPr="0040482C" w14:paraId="5FB59B5D" w14:textId="77777777" w:rsidTr="001D6079">
        <w:trPr>
          <w:cantSplit/>
        </w:trPr>
        <w:tc>
          <w:tcPr>
            <w:tcW w:w="1200" w:type="dxa"/>
          </w:tcPr>
          <w:p w14:paraId="5F100F87" w14:textId="77777777" w:rsidR="001D6079" w:rsidRPr="0040482C" w:rsidRDefault="001D6079" w:rsidP="001D6079">
            <w:pPr>
              <w:pStyle w:val="TableNumbered"/>
              <w:numPr>
                <w:ilvl w:val="0"/>
                <w:numId w:val="0"/>
              </w:numPr>
              <w:ind w:left="360" w:hanging="360"/>
            </w:pPr>
            <w:r w:rsidRPr="0040482C">
              <w:t xml:space="preserve">37 </w:t>
            </w:r>
          </w:p>
        </w:tc>
        <w:tc>
          <w:tcPr>
            <w:tcW w:w="1154" w:type="dxa"/>
          </w:tcPr>
          <w:p w14:paraId="0630A389" w14:textId="77777777" w:rsidR="001D6079" w:rsidRPr="0040482C" w:rsidRDefault="001D6079" w:rsidP="001D6079">
            <w:pPr>
              <w:pStyle w:val="TableText10"/>
            </w:pPr>
            <w:r w:rsidRPr="0040482C">
              <w:t>17</w:t>
            </w:r>
          </w:p>
        </w:tc>
        <w:tc>
          <w:tcPr>
            <w:tcW w:w="2268" w:type="dxa"/>
          </w:tcPr>
          <w:p w14:paraId="12FE6B0E" w14:textId="77777777" w:rsidR="001D6079" w:rsidRPr="0040482C" w:rsidRDefault="001D6079" w:rsidP="001D6079">
            <w:pPr>
              <w:pStyle w:val="TableText10"/>
            </w:pPr>
            <w:r w:rsidRPr="0040482C">
              <w:t>trader’s plate</w:t>
            </w:r>
          </w:p>
        </w:tc>
        <w:tc>
          <w:tcPr>
            <w:tcW w:w="1865" w:type="dxa"/>
          </w:tcPr>
          <w:p w14:paraId="455DB8F9" w14:textId="77777777" w:rsidR="001D6079" w:rsidRPr="0040482C" w:rsidRDefault="001D6079" w:rsidP="001D6079">
            <w:pPr>
              <w:pStyle w:val="TableText10"/>
            </w:pPr>
            <w:r w:rsidRPr="0040482C">
              <w:t>to be attached to a motorcycle</w:t>
            </w:r>
          </w:p>
        </w:tc>
        <w:tc>
          <w:tcPr>
            <w:tcW w:w="1276" w:type="dxa"/>
          </w:tcPr>
          <w:p w14:paraId="378E0DD6" w14:textId="77777777" w:rsidR="001D6079" w:rsidRPr="0040482C" w:rsidRDefault="001D6079" w:rsidP="001D6079">
            <w:pPr>
              <w:pStyle w:val="TableText10"/>
            </w:pPr>
            <w:r w:rsidRPr="0040482C">
              <w:t>not entitled</w:t>
            </w:r>
          </w:p>
        </w:tc>
      </w:tr>
      <w:tr w:rsidR="001D6079" w:rsidRPr="0040482C" w14:paraId="34B9D7E0" w14:textId="77777777" w:rsidTr="001D6079">
        <w:trPr>
          <w:cantSplit/>
        </w:trPr>
        <w:tc>
          <w:tcPr>
            <w:tcW w:w="1200" w:type="dxa"/>
          </w:tcPr>
          <w:p w14:paraId="551629B5" w14:textId="77777777" w:rsidR="001D6079" w:rsidRPr="0040482C" w:rsidRDefault="001D6079" w:rsidP="001D6079">
            <w:pPr>
              <w:pStyle w:val="TableNumbered"/>
              <w:numPr>
                <w:ilvl w:val="0"/>
                <w:numId w:val="0"/>
              </w:numPr>
              <w:ind w:left="360" w:hanging="360"/>
            </w:pPr>
            <w:r w:rsidRPr="0040482C">
              <w:t xml:space="preserve">38 </w:t>
            </w:r>
          </w:p>
        </w:tc>
        <w:tc>
          <w:tcPr>
            <w:tcW w:w="1154" w:type="dxa"/>
          </w:tcPr>
          <w:p w14:paraId="4E4AE64F" w14:textId="77777777" w:rsidR="001D6079" w:rsidRPr="0040482C" w:rsidRDefault="001D6079" w:rsidP="001D6079">
            <w:pPr>
              <w:pStyle w:val="TableText10"/>
            </w:pPr>
            <w:r w:rsidRPr="0040482C">
              <w:t>17</w:t>
            </w:r>
          </w:p>
        </w:tc>
        <w:tc>
          <w:tcPr>
            <w:tcW w:w="2268" w:type="dxa"/>
          </w:tcPr>
          <w:p w14:paraId="2A725192" w14:textId="77777777" w:rsidR="001D6079" w:rsidRPr="0040482C" w:rsidRDefault="001D6079" w:rsidP="001D6079">
            <w:pPr>
              <w:pStyle w:val="TableText10"/>
            </w:pPr>
            <w:r w:rsidRPr="0040482C">
              <w:t>trader’s plate</w:t>
            </w:r>
          </w:p>
        </w:tc>
        <w:tc>
          <w:tcPr>
            <w:tcW w:w="1865" w:type="dxa"/>
          </w:tcPr>
          <w:p w14:paraId="7EB024F4" w14:textId="77777777" w:rsidR="001D6079" w:rsidRPr="0040482C" w:rsidRDefault="001D6079" w:rsidP="001D6079">
            <w:pPr>
              <w:pStyle w:val="TableText10"/>
            </w:pPr>
            <w:r w:rsidRPr="0040482C">
              <w:t>to be attached to a motorcycle</w:t>
            </w:r>
          </w:p>
        </w:tc>
        <w:tc>
          <w:tcPr>
            <w:tcW w:w="1276" w:type="dxa"/>
          </w:tcPr>
          <w:p w14:paraId="46869974" w14:textId="77777777" w:rsidR="001D6079" w:rsidRPr="0040482C" w:rsidRDefault="001D6079" w:rsidP="001D6079">
            <w:pPr>
              <w:pStyle w:val="TableText10"/>
            </w:pPr>
            <w:r w:rsidRPr="0040482C">
              <w:t>entitled</w:t>
            </w:r>
          </w:p>
        </w:tc>
      </w:tr>
      <w:tr w:rsidR="001D6079" w:rsidRPr="0040482C" w14:paraId="1DA06F1F" w14:textId="77777777" w:rsidTr="001D6079">
        <w:trPr>
          <w:cantSplit/>
        </w:trPr>
        <w:tc>
          <w:tcPr>
            <w:tcW w:w="1200" w:type="dxa"/>
          </w:tcPr>
          <w:p w14:paraId="589B72F5" w14:textId="77777777" w:rsidR="001D6079" w:rsidRPr="0040482C" w:rsidRDefault="001D6079" w:rsidP="001D6079">
            <w:pPr>
              <w:pStyle w:val="TableNumbered"/>
              <w:numPr>
                <w:ilvl w:val="0"/>
                <w:numId w:val="0"/>
              </w:numPr>
              <w:ind w:left="360" w:hanging="360"/>
            </w:pPr>
            <w:r w:rsidRPr="0040482C">
              <w:t xml:space="preserve">39 </w:t>
            </w:r>
          </w:p>
        </w:tc>
        <w:tc>
          <w:tcPr>
            <w:tcW w:w="1154" w:type="dxa"/>
          </w:tcPr>
          <w:p w14:paraId="5E95FEE3" w14:textId="77777777" w:rsidR="001D6079" w:rsidRPr="0040482C" w:rsidRDefault="001D6079" w:rsidP="001D6079">
            <w:pPr>
              <w:pStyle w:val="TableText10"/>
            </w:pPr>
            <w:r w:rsidRPr="0040482C">
              <w:t>18</w:t>
            </w:r>
          </w:p>
        </w:tc>
        <w:tc>
          <w:tcPr>
            <w:tcW w:w="2268" w:type="dxa"/>
          </w:tcPr>
          <w:p w14:paraId="3B603B28" w14:textId="77777777" w:rsidR="001D6079" w:rsidRPr="0040482C" w:rsidRDefault="001D6079" w:rsidP="001D6079">
            <w:pPr>
              <w:pStyle w:val="TableText10"/>
            </w:pPr>
            <w:r w:rsidRPr="0040482C">
              <w:t>trader’s plate</w:t>
            </w:r>
          </w:p>
        </w:tc>
        <w:tc>
          <w:tcPr>
            <w:tcW w:w="1865" w:type="dxa"/>
          </w:tcPr>
          <w:p w14:paraId="75CA4E8F" w14:textId="77777777" w:rsidR="001D6079" w:rsidRPr="0040482C" w:rsidRDefault="001D6079" w:rsidP="001D6079">
            <w:pPr>
              <w:pStyle w:val="TableText10"/>
            </w:pPr>
            <w:r w:rsidRPr="0040482C">
              <w:t>to be attached to a motor vehicle other than a motorcycle</w:t>
            </w:r>
          </w:p>
        </w:tc>
        <w:tc>
          <w:tcPr>
            <w:tcW w:w="1276" w:type="dxa"/>
          </w:tcPr>
          <w:p w14:paraId="6D34CCC4" w14:textId="77777777" w:rsidR="001D6079" w:rsidRPr="0040482C" w:rsidRDefault="001D6079" w:rsidP="001D6079">
            <w:pPr>
              <w:pStyle w:val="TableText10"/>
            </w:pPr>
            <w:r w:rsidRPr="0040482C">
              <w:t>not entitled</w:t>
            </w:r>
          </w:p>
        </w:tc>
      </w:tr>
      <w:tr w:rsidR="001D6079" w:rsidRPr="0040482C" w14:paraId="60E6BEFA" w14:textId="77777777" w:rsidTr="001D6079">
        <w:trPr>
          <w:cantSplit/>
        </w:trPr>
        <w:tc>
          <w:tcPr>
            <w:tcW w:w="1200" w:type="dxa"/>
          </w:tcPr>
          <w:p w14:paraId="2ED3ABBD" w14:textId="77777777" w:rsidR="001D6079" w:rsidRPr="0040482C" w:rsidRDefault="001D6079" w:rsidP="001D6079">
            <w:pPr>
              <w:pStyle w:val="TableNumbered"/>
              <w:numPr>
                <w:ilvl w:val="0"/>
                <w:numId w:val="0"/>
              </w:numPr>
              <w:ind w:left="360" w:hanging="360"/>
            </w:pPr>
            <w:r w:rsidRPr="0040482C">
              <w:t xml:space="preserve">40 </w:t>
            </w:r>
          </w:p>
        </w:tc>
        <w:tc>
          <w:tcPr>
            <w:tcW w:w="1154" w:type="dxa"/>
          </w:tcPr>
          <w:p w14:paraId="09704356" w14:textId="77777777" w:rsidR="001D6079" w:rsidRPr="0040482C" w:rsidRDefault="001D6079" w:rsidP="001D6079">
            <w:pPr>
              <w:pStyle w:val="TableText10"/>
            </w:pPr>
            <w:r w:rsidRPr="0040482C">
              <w:t>18</w:t>
            </w:r>
          </w:p>
        </w:tc>
        <w:tc>
          <w:tcPr>
            <w:tcW w:w="2268" w:type="dxa"/>
          </w:tcPr>
          <w:p w14:paraId="32D3ED45" w14:textId="77777777" w:rsidR="001D6079" w:rsidRPr="0040482C" w:rsidRDefault="001D6079" w:rsidP="001D6079">
            <w:pPr>
              <w:pStyle w:val="TableText10"/>
            </w:pPr>
            <w:r w:rsidRPr="0040482C">
              <w:t>trader’s plate</w:t>
            </w:r>
          </w:p>
        </w:tc>
        <w:tc>
          <w:tcPr>
            <w:tcW w:w="1865" w:type="dxa"/>
          </w:tcPr>
          <w:p w14:paraId="07423E4C" w14:textId="77777777" w:rsidR="001D6079" w:rsidRPr="0040482C" w:rsidRDefault="001D6079" w:rsidP="001D6079">
            <w:pPr>
              <w:pStyle w:val="TableText10"/>
            </w:pPr>
            <w:r w:rsidRPr="0040482C">
              <w:t>to be attached to a motor vehicle other than a motorcycle</w:t>
            </w:r>
          </w:p>
        </w:tc>
        <w:tc>
          <w:tcPr>
            <w:tcW w:w="1276" w:type="dxa"/>
          </w:tcPr>
          <w:p w14:paraId="135C8F00" w14:textId="77777777" w:rsidR="001D6079" w:rsidRPr="0040482C" w:rsidRDefault="001D6079" w:rsidP="001D6079">
            <w:pPr>
              <w:pStyle w:val="TableText10"/>
            </w:pPr>
            <w:r w:rsidRPr="0040482C">
              <w:t>entitled</w:t>
            </w:r>
          </w:p>
        </w:tc>
      </w:tr>
      <w:tr w:rsidR="001D6079" w:rsidRPr="0040482C" w14:paraId="767FDCBD" w14:textId="77777777" w:rsidTr="001D6079">
        <w:trPr>
          <w:cantSplit/>
        </w:trPr>
        <w:tc>
          <w:tcPr>
            <w:tcW w:w="1200" w:type="dxa"/>
          </w:tcPr>
          <w:p w14:paraId="0F395DB5" w14:textId="77777777" w:rsidR="001D6079" w:rsidRPr="0040482C" w:rsidRDefault="001D6079" w:rsidP="001D6079">
            <w:pPr>
              <w:pStyle w:val="TableNumbered"/>
              <w:numPr>
                <w:ilvl w:val="0"/>
                <w:numId w:val="0"/>
              </w:numPr>
              <w:ind w:left="360" w:hanging="360"/>
            </w:pPr>
            <w:r w:rsidRPr="0040482C">
              <w:t xml:space="preserve">41 </w:t>
            </w:r>
          </w:p>
        </w:tc>
        <w:tc>
          <w:tcPr>
            <w:tcW w:w="1154" w:type="dxa"/>
          </w:tcPr>
          <w:p w14:paraId="26CC96E9" w14:textId="77777777" w:rsidR="001D6079" w:rsidRPr="0040482C" w:rsidRDefault="001D6079" w:rsidP="001D6079">
            <w:pPr>
              <w:pStyle w:val="TableText10"/>
            </w:pPr>
            <w:r w:rsidRPr="0040482C">
              <w:t>18D</w:t>
            </w:r>
          </w:p>
        </w:tc>
        <w:tc>
          <w:tcPr>
            <w:tcW w:w="2268" w:type="dxa"/>
          </w:tcPr>
          <w:p w14:paraId="11C63E4A" w14:textId="77777777" w:rsidR="001D6079" w:rsidRPr="0040482C" w:rsidRDefault="001D6079" w:rsidP="001D6079">
            <w:pPr>
              <w:pStyle w:val="TableText10"/>
            </w:pPr>
            <w:r w:rsidRPr="0040482C">
              <w:t>trader’s plate</w:t>
            </w:r>
          </w:p>
        </w:tc>
        <w:tc>
          <w:tcPr>
            <w:tcW w:w="1865" w:type="dxa"/>
          </w:tcPr>
          <w:p w14:paraId="7D5067F5" w14:textId="77777777" w:rsidR="001D6079" w:rsidRPr="0040482C" w:rsidRDefault="001D6079" w:rsidP="001D6079">
            <w:pPr>
              <w:pStyle w:val="TableText10"/>
            </w:pPr>
            <w:r w:rsidRPr="0040482C">
              <w:t>to be attached to a registrable vehicle other than a motor vehicle</w:t>
            </w:r>
          </w:p>
        </w:tc>
        <w:tc>
          <w:tcPr>
            <w:tcW w:w="1276" w:type="dxa"/>
          </w:tcPr>
          <w:p w14:paraId="10B1225C" w14:textId="77777777" w:rsidR="001D6079" w:rsidRPr="0040482C" w:rsidRDefault="001D6079" w:rsidP="001D6079">
            <w:pPr>
              <w:pStyle w:val="TableText10"/>
            </w:pPr>
            <w:r w:rsidRPr="0040482C">
              <w:t>not entitled</w:t>
            </w:r>
          </w:p>
        </w:tc>
      </w:tr>
      <w:tr w:rsidR="001D6079" w:rsidRPr="0040482C" w14:paraId="0ABD50A1" w14:textId="77777777" w:rsidTr="001D6079">
        <w:trPr>
          <w:cantSplit/>
        </w:trPr>
        <w:tc>
          <w:tcPr>
            <w:tcW w:w="1200" w:type="dxa"/>
          </w:tcPr>
          <w:p w14:paraId="22443D24" w14:textId="77777777" w:rsidR="001D6079" w:rsidRPr="0040482C" w:rsidRDefault="001D6079" w:rsidP="001D6079">
            <w:pPr>
              <w:pStyle w:val="TableNumbered"/>
              <w:numPr>
                <w:ilvl w:val="0"/>
                <w:numId w:val="0"/>
              </w:numPr>
              <w:ind w:left="360" w:hanging="360"/>
            </w:pPr>
            <w:r w:rsidRPr="0040482C">
              <w:t xml:space="preserve">42 </w:t>
            </w:r>
          </w:p>
        </w:tc>
        <w:tc>
          <w:tcPr>
            <w:tcW w:w="1154" w:type="dxa"/>
          </w:tcPr>
          <w:p w14:paraId="2EEA58EF" w14:textId="77777777" w:rsidR="001D6079" w:rsidRPr="0040482C" w:rsidRDefault="001D6079" w:rsidP="001D6079">
            <w:pPr>
              <w:pStyle w:val="TableText10"/>
            </w:pPr>
            <w:r w:rsidRPr="0040482C">
              <w:t>18D</w:t>
            </w:r>
          </w:p>
        </w:tc>
        <w:tc>
          <w:tcPr>
            <w:tcW w:w="2268" w:type="dxa"/>
          </w:tcPr>
          <w:p w14:paraId="6F628DE8" w14:textId="77777777" w:rsidR="001D6079" w:rsidRPr="0040482C" w:rsidRDefault="001D6079" w:rsidP="001D6079">
            <w:pPr>
              <w:pStyle w:val="TableText10"/>
            </w:pPr>
            <w:r w:rsidRPr="0040482C">
              <w:t>trader’s plate</w:t>
            </w:r>
          </w:p>
        </w:tc>
        <w:tc>
          <w:tcPr>
            <w:tcW w:w="1865" w:type="dxa"/>
          </w:tcPr>
          <w:p w14:paraId="32EAE941" w14:textId="77777777" w:rsidR="001D6079" w:rsidRPr="0040482C" w:rsidRDefault="001D6079" w:rsidP="001D6079">
            <w:pPr>
              <w:pStyle w:val="TableText10"/>
            </w:pPr>
            <w:r w:rsidRPr="0040482C">
              <w:t>to be attached to a registrable vehicle other than a motor vehicle</w:t>
            </w:r>
          </w:p>
        </w:tc>
        <w:tc>
          <w:tcPr>
            <w:tcW w:w="1276" w:type="dxa"/>
          </w:tcPr>
          <w:p w14:paraId="790332B5" w14:textId="77777777" w:rsidR="001D6079" w:rsidRPr="0040482C" w:rsidRDefault="001D6079" w:rsidP="001D6079">
            <w:pPr>
              <w:pStyle w:val="TableText10"/>
            </w:pPr>
            <w:r w:rsidRPr="0040482C">
              <w:t>entitled</w:t>
            </w:r>
          </w:p>
        </w:tc>
      </w:tr>
      <w:tr w:rsidR="001D6079" w:rsidRPr="0040482C" w14:paraId="76E61EEA" w14:textId="77777777" w:rsidTr="001D6079">
        <w:trPr>
          <w:cantSplit/>
        </w:trPr>
        <w:tc>
          <w:tcPr>
            <w:tcW w:w="1200" w:type="dxa"/>
          </w:tcPr>
          <w:p w14:paraId="1BCAE22B" w14:textId="77777777" w:rsidR="001D6079" w:rsidRPr="0040482C" w:rsidRDefault="001D6079" w:rsidP="001D6079">
            <w:pPr>
              <w:pStyle w:val="TableNumbered"/>
              <w:numPr>
                <w:ilvl w:val="0"/>
                <w:numId w:val="0"/>
              </w:numPr>
              <w:ind w:left="360" w:hanging="360"/>
            </w:pPr>
            <w:r w:rsidRPr="0040482C">
              <w:t xml:space="preserve">43 </w:t>
            </w:r>
          </w:p>
        </w:tc>
        <w:tc>
          <w:tcPr>
            <w:tcW w:w="1154" w:type="dxa"/>
          </w:tcPr>
          <w:p w14:paraId="51534F81" w14:textId="77777777" w:rsidR="001D6079" w:rsidRPr="0040482C" w:rsidRDefault="001D6079" w:rsidP="001D6079">
            <w:pPr>
              <w:pStyle w:val="TableText10"/>
            </w:pPr>
            <w:r w:rsidRPr="0040482C">
              <w:t>19</w:t>
            </w:r>
          </w:p>
        </w:tc>
        <w:tc>
          <w:tcPr>
            <w:tcW w:w="2268" w:type="dxa"/>
          </w:tcPr>
          <w:p w14:paraId="041DF76F" w14:textId="77777777" w:rsidR="001D6079" w:rsidRPr="0040482C" w:rsidRDefault="001D6079" w:rsidP="001D6079">
            <w:pPr>
              <w:pStyle w:val="TableText10"/>
            </w:pPr>
            <w:r w:rsidRPr="0040482C">
              <w:t>veteran vehicle</w:t>
            </w:r>
          </w:p>
        </w:tc>
        <w:tc>
          <w:tcPr>
            <w:tcW w:w="1865" w:type="dxa"/>
          </w:tcPr>
          <w:p w14:paraId="0CAA2290" w14:textId="77777777" w:rsidR="001D6079" w:rsidRPr="0040482C" w:rsidRDefault="001D6079" w:rsidP="001D6079">
            <w:pPr>
              <w:pStyle w:val="TableText10"/>
            </w:pPr>
          </w:p>
        </w:tc>
        <w:tc>
          <w:tcPr>
            <w:tcW w:w="1276" w:type="dxa"/>
          </w:tcPr>
          <w:p w14:paraId="75FC9B7E" w14:textId="77777777" w:rsidR="001D6079" w:rsidRPr="0040482C" w:rsidRDefault="001D6079" w:rsidP="001D6079">
            <w:pPr>
              <w:pStyle w:val="TableText10"/>
            </w:pPr>
            <w:r w:rsidRPr="0040482C">
              <w:t>not entitled</w:t>
            </w:r>
          </w:p>
        </w:tc>
      </w:tr>
      <w:tr w:rsidR="001D6079" w:rsidRPr="0040482C" w14:paraId="362BB8D2" w14:textId="77777777" w:rsidTr="001D6079">
        <w:trPr>
          <w:cantSplit/>
        </w:trPr>
        <w:tc>
          <w:tcPr>
            <w:tcW w:w="1200" w:type="dxa"/>
          </w:tcPr>
          <w:p w14:paraId="753CF7CE" w14:textId="77777777" w:rsidR="001D6079" w:rsidRPr="0040482C" w:rsidRDefault="001D6079" w:rsidP="001D6079">
            <w:pPr>
              <w:pStyle w:val="TableNumbered"/>
              <w:numPr>
                <w:ilvl w:val="0"/>
                <w:numId w:val="0"/>
              </w:numPr>
              <w:ind w:left="360" w:hanging="360"/>
            </w:pPr>
            <w:r w:rsidRPr="0040482C">
              <w:t xml:space="preserve">44 </w:t>
            </w:r>
          </w:p>
        </w:tc>
        <w:tc>
          <w:tcPr>
            <w:tcW w:w="1154" w:type="dxa"/>
          </w:tcPr>
          <w:p w14:paraId="3EFBA354" w14:textId="77777777" w:rsidR="001D6079" w:rsidRPr="0040482C" w:rsidRDefault="001D6079" w:rsidP="001D6079">
            <w:pPr>
              <w:pStyle w:val="TableText10"/>
            </w:pPr>
            <w:r w:rsidRPr="0040482C">
              <w:t>19</w:t>
            </w:r>
          </w:p>
        </w:tc>
        <w:tc>
          <w:tcPr>
            <w:tcW w:w="2268" w:type="dxa"/>
          </w:tcPr>
          <w:p w14:paraId="56B5B358" w14:textId="77777777" w:rsidR="001D6079" w:rsidRPr="0040482C" w:rsidRDefault="001D6079" w:rsidP="001D6079">
            <w:pPr>
              <w:pStyle w:val="TableText10"/>
            </w:pPr>
            <w:r w:rsidRPr="0040482C">
              <w:t>veteran vehicle</w:t>
            </w:r>
          </w:p>
        </w:tc>
        <w:tc>
          <w:tcPr>
            <w:tcW w:w="1865" w:type="dxa"/>
          </w:tcPr>
          <w:p w14:paraId="13AE0B0B" w14:textId="77777777" w:rsidR="001D6079" w:rsidRPr="0040482C" w:rsidRDefault="001D6079" w:rsidP="001D6079">
            <w:pPr>
              <w:pStyle w:val="TableText10"/>
            </w:pPr>
          </w:p>
        </w:tc>
        <w:tc>
          <w:tcPr>
            <w:tcW w:w="1276" w:type="dxa"/>
          </w:tcPr>
          <w:p w14:paraId="16EA50D5" w14:textId="77777777" w:rsidR="001D6079" w:rsidRPr="0040482C" w:rsidRDefault="001D6079" w:rsidP="001D6079">
            <w:pPr>
              <w:pStyle w:val="TableText10"/>
            </w:pPr>
            <w:r w:rsidRPr="0040482C">
              <w:t>entitled</w:t>
            </w:r>
          </w:p>
        </w:tc>
      </w:tr>
      <w:tr w:rsidR="001D6079" w:rsidRPr="0040482C" w14:paraId="41B7E02D" w14:textId="77777777" w:rsidTr="001D6079">
        <w:trPr>
          <w:cantSplit/>
        </w:trPr>
        <w:tc>
          <w:tcPr>
            <w:tcW w:w="1200" w:type="dxa"/>
          </w:tcPr>
          <w:p w14:paraId="465E2808" w14:textId="77777777" w:rsidR="001D6079" w:rsidRPr="0040482C" w:rsidRDefault="001D6079" w:rsidP="001D6079">
            <w:pPr>
              <w:pStyle w:val="TableNumbered"/>
              <w:numPr>
                <w:ilvl w:val="0"/>
                <w:numId w:val="0"/>
              </w:numPr>
              <w:ind w:left="360" w:hanging="360"/>
            </w:pPr>
            <w:r w:rsidRPr="0040482C">
              <w:t xml:space="preserve">45 </w:t>
            </w:r>
          </w:p>
        </w:tc>
        <w:tc>
          <w:tcPr>
            <w:tcW w:w="1154" w:type="dxa"/>
          </w:tcPr>
          <w:p w14:paraId="25328949" w14:textId="77777777" w:rsidR="001D6079" w:rsidRPr="0040482C" w:rsidRDefault="001D6079" w:rsidP="001D6079">
            <w:pPr>
              <w:pStyle w:val="TableText10"/>
            </w:pPr>
            <w:r w:rsidRPr="0040482C">
              <w:t>20</w:t>
            </w:r>
          </w:p>
        </w:tc>
        <w:tc>
          <w:tcPr>
            <w:tcW w:w="2268" w:type="dxa"/>
          </w:tcPr>
          <w:p w14:paraId="1EC968D9" w14:textId="77777777" w:rsidR="001D6079" w:rsidRPr="0040482C" w:rsidRDefault="001D6079" w:rsidP="001D6079">
            <w:pPr>
              <w:pStyle w:val="TableText10"/>
            </w:pPr>
            <w:r w:rsidRPr="0040482C">
              <w:t>vintage vehicle</w:t>
            </w:r>
          </w:p>
        </w:tc>
        <w:tc>
          <w:tcPr>
            <w:tcW w:w="1865" w:type="dxa"/>
          </w:tcPr>
          <w:p w14:paraId="2FC81092" w14:textId="77777777" w:rsidR="001D6079" w:rsidRPr="0040482C" w:rsidRDefault="001D6079" w:rsidP="001D6079">
            <w:pPr>
              <w:pStyle w:val="TableText10"/>
            </w:pPr>
          </w:p>
        </w:tc>
        <w:tc>
          <w:tcPr>
            <w:tcW w:w="1276" w:type="dxa"/>
          </w:tcPr>
          <w:p w14:paraId="29306C4F" w14:textId="77777777" w:rsidR="001D6079" w:rsidRPr="0040482C" w:rsidRDefault="001D6079" w:rsidP="001D6079">
            <w:pPr>
              <w:pStyle w:val="TableText10"/>
            </w:pPr>
            <w:r w:rsidRPr="0040482C">
              <w:t>not entitled</w:t>
            </w:r>
          </w:p>
        </w:tc>
      </w:tr>
      <w:tr w:rsidR="001D6079" w:rsidRPr="0040482C" w14:paraId="0E4B683D" w14:textId="77777777" w:rsidTr="001D6079">
        <w:trPr>
          <w:cantSplit/>
        </w:trPr>
        <w:tc>
          <w:tcPr>
            <w:tcW w:w="1200" w:type="dxa"/>
          </w:tcPr>
          <w:p w14:paraId="461FF125" w14:textId="77777777" w:rsidR="001D6079" w:rsidRPr="0040482C" w:rsidRDefault="001D6079" w:rsidP="001D6079">
            <w:pPr>
              <w:pStyle w:val="TableNumbered"/>
              <w:numPr>
                <w:ilvl w:val="0"/>
                <w:numId w:val="0"/>
              </w:numPr>
              <w:ind w:left="360" w:hanging="360"/>
            </w:pPr>
            <w:r w:rsidRPr="0040482C">
              <w:t xml:space="preserve">46 </w:t>
            </w:r>
          </w:p>
        </w:tc>
        <w:tc>
          <w:tcPr>
            <w:tcW w:w="1154" w:type="dxa"/>
          </w:tcPr>
          <w:p w14:paraId="5272E744" w14:textId="77777777" w:rsidR="001D6079" w:rsidRPr="0040482C" w:rsidRDefault="001D6079" w:rsidP="001D6079">
            <w:pPr>
              <w:pStyle w:val="TableText10"/>
            </w:pPr>
            <w:r w:rsidRPr="0040482C">
              <w:t>20</w:t>
            </w:r>
          </w:p>
        </w:tc>
        <w:tc>
          <w:tcPr>
            <w:tcW w:w="2268" w:type="dxa"/>
          </w:tcPr>
          <w:p w14:paraId="1D1EF8D7" w14:textId="77777777" w:rsidR="001D6079" w:rsidRPr="0040482C" w:rsidRDefault="001D6079" w:rsidP="001D6079">
            <w:pPr>
              <w:pStyle w:val="TableText10"/>
            </w:pPr>
            <w:r w:rsidRPr="0040482C">
              <w:t>vintage vehicle</w:t>
            </w:r>
          </w:p>
        </w:tc>
        <w:tc>
          <w:tcPr>
            <w:tcW w:w="1865" w:type="dxa"/>
          </w:tcPr>
          <w:p w14:paraId="483D217A" w14:textId="77777777" w:rsidR="001D6079" w:rsidRPr="0040482C" w:rsidRDefault="001D6079" w:rsidP="001D6079">
            <w:pPr>
              <w:pStyle w:val="TableText10"/>
            </w:pPr>
          </w:p>
        </w:tc>
        <w:tc>
          <w:tcPr>
            <w:tcW w:w="1276" w:type="dxa"/>
          </w:tcPr>
          <w:p w14:paraId="6C3A2933" w14:textId="77777777" w:rsidR="001D6079" w:rsidRPr="0040482C" w:rsidRDefault="001D6079" w:rsidP="001D6079">
            <w:pPr>
              <w:pStyle w:val="TableText10"/>
            </w:pPr>
            <w:r w:rsidRPr="0040482C">
              <w:t>entitled</w:t>
            </w:r>
          </w:p>
        </w:tc>
      </w:tr>
      <w:tr w:rsidR="001D6079" w:rsidRPr="0040482C" w14:paraId="209F86DF" w14:textId="77777777" w:rsidTr="001D6079">
        <w:trPr>
          <w:cantSplit/>
        </w:trPr>
        <w:tc>
          <w:tcPr>
            <w:tcW w:w="1200" w:type="dxa"/>
          </w:tcPr>
          <w:p w14:paraId="7DEAB669" w14:textId="77777777" w:rsidR="001D6079" w:rsidRPr="0040482C" w:rsidRDefault="001D6079" w:rsidP="001D6079">
            <w:pPr>
              <w:pStyle w:val="TableNumbered"/>
              <w:numPr>
                <w:ilvl w:val="0"/>
                <w:numId w:val="0"/>
              </w:numPr>
              <w:ind w:left="360" w:hanging="360"/>
            </w:pPr>
            <w:r w:rsidRPr="0040482C">
              <w:t xml:space="preserve">47 </w:t>
            </w:r>
          </w:p>
        </w:tc>
        <w:tc>
          <w:tcPr>
            <w:tcW w:w="1154" w:type="dxa"/>
          </w:tcPr>
          <w:p w14:paraId="3064DA93" w14:textId="77777777" w:rsidR="001D6079" w:rsidRPr="0040482C" w:rsidRDefault="001D6079" w:rsidP="001D6079">
            <w:pPr>
              <w:pStyle w:val="TableText10"/>
            </w:pPr>
            <w:r w:rsidRPr="0040482C">
              <w:t>21</w:t>
            </w:r>
          </w:p>
        </w:tc>
        <w:tc>
          <w:tcPr>
            <w:tcW w:w="2268" w:type="dxa"/>
          </w:tcPr>
          <w:p w14:paraId="2821F9C4" w14:textId="77777777" w:rsidR="001D6079" w:rsidRPr="0040482C" w:rsidRDefault="001D6079" w:rsidP="001D6079">
            <w:pPr>
              <w:pStyle w:val="TableText10"/>
            </w:pPr>
            <w:r w:rsidRPr="0040482C">
              <w:t>historic vehicle</w:t>
            </w:r>
          </w:p>
        </w:tc>
        <w:tc>
          <w:tcPr>
            <w:tcW w:w="1865" w:type="dxa"/>
          </w:tcPr>
          <w:p w14:paraId="3A77AF2B" w14:textId="77777777" w:rsidR="001D6079" w:rsidRPr="0040482C" w:rsidRDefault="001D6079" w:rsidP="001D6079">
            <w:pPr>
              <w:pStyle w:val="TableText10"/>
            </w:pPr>
          </w:p>
        </w:tc>
        <w:tc>
          <w:tcPr>
            <w:tcW w:w="1276" w:type="dxa"/>
          </w:tcPr>
          <w:p w14:paraId="1C87CBBB" w14:textId="77777777" w:rsidR="001D6079" w:rsidRPr="0040482C" w:rsidRDefault="001D6079" w:rsidP="001D6079">
            <w:pPr>
              <w:pStyle w:val="TableText10"/>
            </w:pPr>
            <w:r w:rsidRPr="0040482C">
              <w:t>not entitled</w:t>
            </w:r>
          </w:p>
        </w:tc>
      </w:tr>
      <w:tr w:rsidR="001D6079" w:rsidRPr="0040482C" w14:paraId="726CF84F" w14:textId="77777777" w:rsidTr="001D6079">
        <w:trPr>
          <w:cantSplit/>
        </w:trPr>
        <w:tc>
          <w:tcPr>
            <w:tcW w:w="1200" w:type="dxa"/>
          </w:tcPr>
          <w:p w14:paraId="2305ECDC" w14:textId="77777777" w:rsidR="001D6079" w:rsidRPr="0040482C" w:rsidRDefault="001D6079" w:rsidP="001D6079">
            <w:pPr>
              <w:pStyle w:val="TableNumbered"/>
              <w:numPr>
                <w:ilvl w:val="0"/>
                <w:numId w:val="0"/>
              </w:numPr>
              <w:ind w:left="360" w:hanging="360"/>
            </w:pPr>
            <w:r w:rsidRPr="0040482C">
              <w:lastRenderedPageBreak/>
              <w:t xml:space="preserve">48 </w:t>
            </w:r>
          </w:p>
        </w:tc>
        <w:tc>
          <w:tcPr>
            <w:tcW w:w="1154" w:type="dxa"/>
          </w:tcPr>
          <w:p w14:paraId="355C7137" w14:textId="77777777" w:rsidR="001D6079" w:rsidRPr="0040482C" w:rsidRDefault="001D6079" w:rsidP="001D6079">
            <w:pPr>
              <w:pStyle w:val="TableText10"/>
            </w:pPr>
            <w:r w:rsidRPr="0040482C">
              <w:t>21</w:t>
            </w:r>
          </w:p>
        </w:tc>
        <w:tc>
          <w:tcPr>
            <w:tcW w:w="2268" w:type="dxa"/>
          </w:tcPr>
          <w:p w14:paraId="367014C9" w14:textId="77777777" w:rsidR="001D6079" w:rsidRPr="0040482C" w:rsidRDefault="001D6079" w:rsidP="001D6079">
            <w:pPr>
              <w:pStyle w:val="TableText10"/>
            </w:pPr>
            <w:r w:rsidRPr="0040482C">
              <w:t>historic vehicle</w:t>
            </w:r>
          </w:p>
        </w:tc>
        <w:tc>
          <w:tcPr>
            <w:tcW w:w="1865" w:type="dxa"/>
          </w:tcPr>
          <w:p w14:paraId="04DA39A4" w14:textId="77777777" w:rsidR="001D6079" w:rsidRPr="0040482C" w:rsidRDefault="001D6079" w:rsidP="001D6079">
            <w:pPr>
              <w:pStyle w:val="TableText10"/>
            </w:pPr>
          </w:p>
        </w:tc>
        <w:tc>
          <w:tcPr>
            <w:tcW w:w="1276" w:type="dxa"/>
          </w:tcPr>
          <w:p w14:paraId="42E1FB28" w14:textId="77777777" w:rsidR="001D6079" w:rsidRPr="0040482C" w:rsidRDefault="001D6079" w:rsidP="001D6079">
            <w:pPr>
              <w:pStyle w:val="TableText10"/>
            </w:pPr>
            <w:r w:rsidRPr="0040482C">
              <w:t>entitled</w:t>
            </w:r>
          </w:p>
        </w:tc>
      </w:tr>
      <w:tr w:rsidR="001D6079" w:rsidRPr="0040482C" w14:paraId="5A26E8D8" w14:textId="77777777" w:rsidTr="001D6079">
        <w:trPr>
          <w:cantSplit/>
        </w:trPr>
        <w:tc>
          <w:tcPr>
            <w:tcW w:w="1200" w:type="dxa"/>
          </w:tcPr>
          <w:p w14:paraId="597ED32D" w14:textId="77777777" w:rsidR="001D6079" w:rsidRPr="0040482C" w:rsidRDefault="001D6079" w:rsidP="001D6079">
            <w:pPr>
              <w:pStyle w:val="TableNumbered"/>
              <w:numPr>
                <w:ilvl w:val="0"/>
                <w:numId w:val="0"/>
              </w:numPr>
              <w:ind w:left="360" w:hanging="360"/>
            </w:pPr>
            <w:r w:rsidRPr="0040482C">
              <w:t xml:space="preserve">49 </w:t>
            </w:r>
          </w:p>
        </w:tc>
        <w:tc>
          <w:tcPr>
            <w:tcW w:w="1154" w:type="dxa"/>
          </w:tcPr>
          <w:p w14:paraId="71785583" w14:textId="77777777" w:rsidR="001D6079" w:rsidRPr="0040482C" w:rsidRDefault="001D6079" w:rsidP="001D6079">
            <w:pPr>
              <w:pStyle w:val="TableText10"/>
            </w:pPr>
            <w:r w:rsidRPr="0040482C">
              <w:t>22</w:t>
            </w:r>
          </w:p>
        </w:tc>
        <w:tc>
          <w:tcPr>
            <w:tcW w:w="2268" w:type="dxa"/>
          </w:tcPr>
          <w:p w14:paraId="30757F92" w14:textId="77777777" w:rsidR="001D6079" w:rsidRPr="0040482C" w:rsidRDefault="001D6079" w:rsidP="001D6079">
            <w:pPr>
              <w:pStyle w:val="TableText10"/>
            </w:pPr>
            <w:r w:rsidRPr="0040482C">
              <w:t>ambulance</w:t>
            </w:r>
          </w:p>
        </w:tc>
        <w:tc>
          <w:tcPr>
            <w:tcW w:w="1865" w:type="dxa"/>
          </w:tcPr>
          <w:p w14:paraId="26ABDCFB" w14:textId="77777777" w:rsidR="001D6079" w:rsidRPr="0040482C" w:rsidRDefault="001D6079" w:rsidP="001D6079">
            <w:pPr>
              <w:pStyle w:val="TableText10"/>
            </w:pPr>
          </w:p>
        </w:tc>
        <w:tc>
          <w:tcPr>
            <w:tcW w:w="1276" w:type="dxa"/>
          </w:tcPr>
          <w:p w14:paraId="2A4953F7" w14:textId="77777777" w:rsidR="001D6079" w:rsidRPr="0040482C" w:rsidRDefault="001D6079" w:rsidP="001D6079">
            <w:pPr>
              <w:pStyle w:val="TableText10"/>
            </w:pPr>
            <w:r w:rsidRPr="0040482C">
              <w:t>not entitled</w:t>
            </w:r>
          </w:p>
        </w:tc>
      </w:tr>
      <w:tr w:rsidR="001D6079" w:rsidRPr="0040482C" w14:paraId="0138413B" w14:textId="77777777" w:rsidTr="001D6079">
        <w:trPr>
          <w:cantSplit/>
        </w:trPr>
        <w:tc>
          <w:tcPr>
            <w:tcW w:w="1200" w:type="dxa"/>
          </w:tcPr>
          <w:p w14:paraId="21BF9690" w14:textId="77777777" w:rsidR="001D6079" w:rsidRPr="0040482C" w:rsidRDefault="001D6079" w:rsidP="001D6079">
            <w:pPr>
              <w:pStyle w:val="TableNumbered"/>
              <w:numPr>
                <w:ilvl w:val="0"/>
                <w:numId w:val="0"/>
              </w:numPr>
              <w:ind w:left="360" w:hanging="360"/>
            </w:pPr>
            <w:r w:rsidRPr="0040482C">
              <w:t xml:space="preserve">50 </w:t>
            </w:r>
          </w:p>
        </w:tc>
        <w:tc>
          <w:tcPr>
            <w:tcW w:w="1154" w:type="dxa"/>
          </w:tcPr>
          <w:p w14:paraId="4DFFE1F6" w14:textId="77777777" w:rsidR="001D6079" w:rsidRPr="0040482C" w:rsidRDefault="001D6079" w:rsidP="001D6079">
            <w:pPr>
              <w:pStyle w:val="TableText10"/>
            </w:pPr>
            <w:r w:rsidRPr="0040482C">
              <w:t>22</w:t>
            </w:r>
          </w:p>
        </w:tc>
        <w:tc>
          <w:tcPr>
            <w:tcW w:w="2268" w:type="dxa"/>
          </w:tcPr>
          <w:p w14:paraId="6C8C776D" w14:textId="77777777" w:rsidR="001D6079" w:rsidRPr="0040482C" w:rsidRDefault="001D6079" w:rsidP="001D6079">
            <w:pPr>
              <w:pStyle w:val="TableText10"/>
            </w:pPr>
            <w:r w:rsidRPr="0040482C">
              <w:t>ambulance</w:t>
            </w:r>
          </w:p>
        </w:tc>
        <w:tc>
          <w:tcPr>
            <w:tcW w:w="1865" w:type="dxa"/>
          </w:tcPr>
          <w:p w14:paraId="63CE815D" w14:textId="77777777" w:rsidR="001D6079" w:rsidRPr="0040482C" w:rsidRDefault="001D6079" w:rsidP="001D6079">
            <w:pPr>
              <w:pStyle w:val="TableText10"/>
            </w:pPr>
          </w:p>
        </w:tc>
        <w:tc>
          <w:tcPr>
            <w:tcW w:w="1276" w:type="dxa"/>
          </w:tcPr>
          <w:p w14:paraId="0445B4DD" w14:textId="77777777" w:rsidR="001D6079" w:rsidRPr="0040482C" w:rsidRDefault="001D6079" w:rsidP="001D6079">
            <w:pPr>
              <w:pStyle w:val="TableText10"/>
            </w:pPr>
            <w:r w:rsidRPr="0040482C">
              <w:t>entitled</w:t>
            </w:r>
          </w:p>
        </w:tc>
      </w:tr>
      <w:tr w:rsidR="001D6079" w:rsidRPr="0040482C" w14:paraId="50507EF1" w14:textId="77777777" w:rsidTr="001D6079">
        <w:trPr>
          <w:cantSplit/>
        </w:trPr>
        <w:tc>
          <w:tcPr>
            <w:tcW w:w="1200" w:type="dxa"/>
          </w:tcPr>
          <w:p w14:paraId="662B17B9" w14:textId="77777777" w:rsidR="001D6079" w:rsidRPr="0040482C" w:rsidRDefault="001D6079" w:rsidP="001D6079">
            <w:pPr>
              <w:pStyle w:val="TableNumbered"/>
              <w:numPr>
                <w:ilvl w:val="0"/>
                <w:numId w:val="0"/>
              </w:numPr>
              <w:ind w:left="360" w:hanging="360"/>
            </w:pPr>
            <w:r w:rsidRPr="0040482C">
              <w:t xml:space="preserve">51 </w:t>
            </w:r>
          </w:p>
        </w:tc>
        <w:tc>
          <w:tcPr>
            <w:tcW w:w="1154" w:type="dxa"/>
          </w:tcPr>
          <w:p w14:paraId="1E3A0341" w14:textId="77777777" w:rsidR="001D6079" w:rsidRPr="0040482C" w:rsidRDefault="001D6079" w:rsidP="001D6079">
            <w:pPr>
              <w:pStyle w:val="TableText10"/>
            </w:pPr>
            <w:r w:rsidRPr="0040482C">
              <w:t>23</w:t>
            </w:r>
          </w:p>
        </w:tc>
        <w:tc>
          <w:tcPr>
            <w:tcW w:w="2268" w:type="dxa"/>
          </w:tcPr>
          <w:p w14:paraId="329B9AE6" w14:textId="77777777" w:rsidR="001D6079" w:rsidRPr="0040482C" w:rsidRDefault="001D6079" w:rsidP="001D6079">
            <w:pPr>
              <w:pStyle w:val="TableText10"/>
            </w:pPr>
            <w:r w:rsidRPr="0040482C">
              <w:t>police vehicle</w:t>
            </w:r>
          </w:p>
        </w:tc>
        <w:tc>
          <w:tcPr>
            <w:tcW w:w="1865" w:type="dxa"/>
          </w:tcPr>
          <w:p w14:paraId="16922B92" w14:textId="77777777" w:rsidR="001D6079" w:rsidRPr="0040482C" w:rsidRDefault="001D6079" w:rsidP="001D6079">
            <w:pPr>
              <w:pStyle w:val="TableText10"/>
            </w:pPr>
          </w:p>
        </w:tc>
        <w:tc>
          <w:tcPr>
            <w:tcW w:w="1276" w:type="dxa"/>
          </w:tcPr>
          <w:p w14:paraId="009E347E" w14:textId="77777777" w:rsidR="001D6079" w:rsidRPr="0040482C" w:rsidRDefault="001D6079" w:rsidP="001D6079">
            <w:pPr>
              <w:pStyle w:val="TableText10"/>
            </w:pPr>
            <w:r w:rsidRPr="0040482C">
              <w:t>not entitled</w:t>
            </w:r>
          </w:p>
        </w:tc>
      </w:tr>
      <w:tr w:rsidR="001D6079" w:rsidRPr="0040482C" w14:paraId="64BCA2B0" w14:textId="77777777" w:rsidTr="001D6079">
        <w:trPr>
          <w:cantSplit/>
        </w:trPr>
        <w:tc>
          <w:tcPr>
            <w:tcW w:w="1200" w:type="dxa"/>
          </w:tcPr>
          <w:p w14:paraId="3B22D418" w14:textId="77777777" w:rsidR="001D6079" w:rsidRPr="0040482C" w:rsidRDefault="001D6079" w:rsidP="001D6079">
            <w:pPr>
              <w:pStyle w:val="TableNumbered"/>
              <w:numPr>
                <w:ilvl w:val="0"/>
                <w:numId w:val="0"/>
              </w:numPr>
              <w:ind w:left="360" w:hanging="360"/>
            </w:pPr>
            <w:r w:rsidRPr="0040482C">
              <w:t xml:space="preserve">52 </w:t>
            </w:r>
          </w:p>
        </w:tc>
        <w:tc>
          <w:tcPr>
            <w:tcW w:w="1154" w:type="dxa"/>
          </w:tcPr>
          <w:p w14:paraId="422F7B47" w14:textId="77777777" w:rsidR="001D6079" w:rsidRPr="0040482C" w:rsidRDefault="001D6079" w:rsidP="001D6079">
            <w:pPr>
              <w:pStyle w:val="TableText10"/>
            </w:pPr>
            <w:r w:rsidRPr="0040482C">
              <w:t>23</w:t>
            </w:r>
          </w:p>
        </w:tc>
        <w:tc>
          <w:tcPr>
            <w:tcW w:w="2268" w:type="dxa"/>
          </w:tcPr>
          <w:p w14:paraId="3299357A" w14:textId="77777777" w:rsidR="001D6079" w:rsidRPr="0040482C" w:rsidRDefault="001D6079" w:rsidP="001D6079">
            <w:pPr>
              <w:pStyle w:val="TableText10"/>
            </w:pPr>
            <w:r w:rsidRPr="0040482C">
              <w:t>police vehicle</w:t>
            </w:r>
          </w:p>
        </w:tc>
        <w:tc>
          <w:tcPr>
            <w:tcW w:w="1865" w:type="dxa"/>
          </w:tcPr>
          <w:p w14:paraId="3AA54543" w14:textId="77777777" w:rsidR="001D6079" w:rsidRPr="0040482C" w:rsidRDefault="001D6079" w:rsidP="001D6079">
            <w:pPr>
              <w:pStyle w:val="TableText10"/>
            </w:pPr>
          </w:p>
        </w:tc>
        <w:tc>
          <w:tcPr>
            <w:tcW w:w="1276" w:type="dxa"/>
          </w:tcPr>
          <w:p w14:paraId="715F012A" w14:textId="77777777" w:rsidR="001D6079" w:rsidRPr="0040482C" w:rsidRDefault="001D6079" w:rsidP="001D6079">
            <w:pPr>
              <w:pStyle w:val="TableText10"/>
            </w:pPr>
            <w:r w:rsidRPr="0040482C">
              <w:t>entitled</w:t>
            </w:r>
          </w:p>
        </w:tc>
      </w:tr>
      <w:tr w:rsidR="00633E28" w:rsidRPr="0040482C" w14:paraId="392A5967" w14:textId="77777777" w:rsidTr="001D6079">
        <w:trPr>
          <w:cantSplit/>
        </w:trPr>
        <w:tc>
          <w:tcPr>
            <w:tcW w:w="1200" w:type="dxa"/>
          </w:tcPr>
          <w:p w14:paraId="22F158B1" w14:textId="238675E8" w:rsidR="00633E28" w:rsidRPr="0040482C" w:rsidRDefault="00633E28" w:rsidP="00633E28">
            <w:pPr>
              <w:pStyle w:val="TableNumbered"/>
              <w:numPr>
                <w:ilvl w:val="0"/>
                <w:numId w:val="0"/>
              </w:numPr>
              <w:ind w:left="360" w:hanging="360"/>
            </w:pPr>
            <w:r>
              <w:t>53</w:t>
            </w:r>
          </w:p>
        </w:tc>
        <w:tc>
          <w:tcPr>
            <w:tcW w:w="1154" w:type="dxa"/>
          </w:tcPr>
          <w:p w14:paraId="1FE44316" w14:textId="358A6213" w:rsidR="00633E28" w:rsidRPr="0040482C" w:rsidRDefault="00633E28" w:rsidP="00633E28">
            <w:pPr>
              <w:pStyle w:val="TableText10"/>
            </w:pPr>
            <w:r>
              <w:t>24</w:t>
            </w:r>
          </w:p>
        </w:tc>
        <w:tc>
          <w:tcPr>
            <w:tcW w:w="2268" w:type="dxa"/>
          </w:tcPr>
          <w:p w14:paraId="12EE7318" w14:textId="18E13691" w:rsidR="00633E28" w:rsidRPr="0040482C" w:rsidRDefault="00633E28" w:rsidP="00633E28">
            <w:pPr>
              <w:pStyle w:val="TableText10"/>
            </w:pPr>
            <w:r>
              <w:t>m</w:t>
            </w:r>
            <w:r w:rsidRPr="000220C3">
              <w:t xml:space="preserve">odified </w:t>
            </w:r>
            <w:r>
              <w:t>h</w:t>
            </w:r>
            <w:r w:rsidRPr="000220C3">
              <w:t xml:space="preserve">istoric </w:t>
            </w:r>
            <w:r>
              <w:t>v</w:t>
            </w:r>
            <w:r w:rsidRPr="000220C3">
              <w:t>ehicle</w:t>
            </w:r>
          </w:p>
        </w:tc>
        <w:tc>
          <w:tcPr>
            <w:tcW w:w="1865" w:type="dxa"/>
          </w:tcPr>
          <w:p w14:paraId="60C219DD" w14:textId="77777777" w:rsidR="00633E28" w:rsidRPr="0040482C" w:rsidRDefault="00633E28" w:rsidP="00633E28">
            <w:pPr>
              <w:pStyle w:val="TableText10"/>
            </w:pPr>
          </w:p>
        </w:tc>
        <w:tc>
          <w:tcPr>
            <w:tcW w:w="1276" w:type="dxa"/>
          </w:tcPr>
          <w:p w14:paraId="11670B54" w14:textId="12F70CFB" w:rsidR="00633E28" w:rsidRPr="0040482C" w:rsidRDefault="00633E28" w:rsidP="00633E28">
            <w:pPr>
              <w:pStyle w:val="TableText10"/>
            </w:pPr>
            <w:r>
              <w:t xml:space="preserve">not </w:t>
            </w:r>
            <w:r w:rsidRPr="00173E2A">
              <w:t>entitled</w:t>
            </w:r>
          </w:p>
        </w:tc>
      </w:tr>
      <w:tr w:rsidR="00633E28" w:rsidRPr="0040482C" w14:paraId="3EC26C6F" w14:textId="77777777" w:rsidTr="001D6079">
        <w:trPr>
          <w:cantSplit/>
        </w:trPr>
        <w:tc>
          <w:tcPr>
            <w:tcW w:w="1200" w:type="dxa"/>
          </w:tcPr>
          <w:p w14:paraId="0DC3A308" w14:textId="18ADF516" w:rsidR="00633E28" w:rsidRPr="0040482C" w:rsidRDefault="00633E28" w:rsidP="00633E28">
            <w:pPr>
              <w:pStyle w:val="TableNumbered"/>
              <w:numPr>
                <w:ilvl w:val="0"/>
                <w:numId w:val="0"/>
              </w:numPr>
              <w:ind w:left="360" w:hanging="360"/>
            </w:pPr>
            <w:r>
              <w:t>54</w:t>
            </w:r>
          </w:p>
        </w:tc>
        <w:tc>
          <w:tcPr>
            <w:tcW w:w="1154" w:type="dxa"/>
          </w:tcPr>
          <w:p w14:paraId="25521C1C" w14:textId="2EE56F4B" w:rsidR="00633E28" w:rsidRPr="0040482C" w:rsidRDefault="00633E28" w:rsidP="00633E28">
            <w:pPr>
              <w:pStyle w:val="TableText10"/>
            </w:pPr>
            <w:r>
              <w:t>24</w:t>
            </w:r>
          </w:p>
        </w:tc>
        <w:tc>
          <w:tcPr>
            <w:tcW w:w="2268" w:type="dxa"/>
          </w:tcPr>
          <w:p w14:paraId="5A0D2C78" w14:textId="32EB6298" w:rsidR="00633E28" w:rsidRPr="0040482C" w:rsidRDefault="00633E28" w:rsidP="00633E28">
            <w:pPr>
              <w:pStyle w:val="TableText10"/>
            </w:pPr>
            <w:r>
              <w:t>m</w:t>
            </w:r>
            <w:r w:rsidRPr="000220C3">
              <w:t xml:space="preserve">odified </w:t>
            </w:r>
            <w:r>
              <w:t>h</w:t>
            </w:r>
            <w:r w:rsidRPr="000220C3">
              <w:t xml:space="preserve">istoric </w:t>
            </w:r>
            <w:r>
              <w:t>v</w:t>
            </w:r>
            <w:r w:rsidRPr="000220C3">
              <w:t>ehicle</w:t>
            </w:r>
          </w:p>
        </w:tc>
        <w:tc>
          <w:tcPr>
            <w:tcW w:w="1865" w:type="dxa"/>
          </w:tcPr>
          <w:p w14:paraId="466FF0AE" w14:textId="77777777" w:rsidR="00633E28" w:rsidRPr="0040482C" w:rsidRDefault="00633E28" w:rsidP="00633E28">
            <w:pPr>
              <w:pStyle w:val="TableText10"/>
            </w:pPr>
          </w:p>
        </w:tc>
        <w:tc>
          <w:tcPr>
            <w:tcW w:w="1276" w:type="dxa"/>
          </w:tcPr>
          <w:p w14:paraId="4F710B11" w14:textId="0B322C9A" w:rsidR="00633E28" w:rsidRPr="0040482C" w:rsidRDefault="00633E28" w:rsidP="00633E28">
            <w:pPr>
              <w:pStyle w:val="TableText10"/>
            </w:pPr>
            <w:r w:rsidRPr="00173E2A">
              <w:t>entitled</w:t>
            </w:r>
          </w:p>
        </w:tc>
      </w:tr>
      <w:tr w:rsidR="001D6079" w:rsidRPr="0040482C" w14:paraId="63FC15B0" w14:textId="77777777" w:rsidTr="001D6079">
        <w:trPr>
          <w:cantSplit/>
        </w:trPr>
        <w:tc>
          <w:tcPr>
            <w:tcW w:w="1200" w:type="dxa"/>
          </w:tcPr>
          <w:p w14:paraId="33BA32A6" w14:textId="3DDCBBB8" w:rsidR="001D6079" w:rsidRPr="0040482C" w:rsidRDefault="001D6079" w:rsidP="001D6079">
            <w:pPr>
              <w:pStyle w:val="TableNumbered"/>
              <w:numPr>
                <w:ilvl w:val="0"/>
                <w:numId w:val="0"/>
              </w:numPr>
              <w:ind w:left="360" w:hanging="360"/>
            </w:pPr>
            <w:r w:rsidRPr="0040482C">
              <w:t>5</w:t>
            </w:r>
            <w:r w:rsidR="00633E28">
              <w:t>5</w:t>
            </w:r>
          </w:p>
        </w:tc>
        <w:tc>
          <w:tcPr>
            <w:tcW w:w="1154" w:type="dxa"/>
          </w:tcPr>
          <w:p w14:paraId="0935D5B0" w14:textId="77777777" w:rsidR="001D6079" w:rsidRPr="0040482C" w:rsidRDefault="001D6079" w:rsidP="001D6079">
            <w:pPr>
              <w:pStyle w:val="TableText10"/>
            </w:pPr>
            <w:r w:rsidRPr="0040482C">
              <w:t>25A</w:t>
            </w:r>
          </w:p>
        </w:tc>
        <w:tc>
          <w:tcPr>
            <w:tcW w:w="2268" w:type="dxa"/>
          </w:tcPr>
          <w:p w14:paraId="71536A12" w14:textId="77777777" w:rsidR="001D6079" w:rsidRPr="0040482C" w:rsidRDefault="001D6079" w:rsidP="001D6079">
            <w:pPr>
              <w:pStyle w:val="TableText10"/>
            </w:pPr>
            <w:r w:rsidRPr="0040482C">
              <w:t>rideshare vehicle</w:t>
            </w:r>
          </w:p>
        </w:tc>
        <w:tc>
          <w:tcPr>
            <w:tcW w:w="1865" w:type="dxa"/>
          </w:tcPr>
          <w:p w14:paraId="28192A07" w14:textId="77777777" w:rsidR="001D6079" w:rsidRPr="0040482C" w:rsidRDefault="001D6079" w:rsidP="001D6079">
            <w:pPr>
              <w:pStyle w:val="TableText10"/>
            </w:pPr>
          </w:p>
        </w:tc>
        <w:tc>
          <w:tcPr>
            <w:tcW w:w="1276" w:type="dxa"/>
          </w:tcPr>
          <w:p w14:paraId="686E2130" w14:textId="77777777" w:rsidR="001D6079" w:rsidRPr="0040482C" w:rsidRDefault="001D6079" w:rsidP="001D6079">
            <w:pPr>
              <w:pStyle w:val="TableText10"/>
            </w:pPr>
            <w:r w:rsidRPr="0040482C">
              <w:t>not entitled</w:t>
            </w:r>
          </w:p>
        </w:tc>
      </w:tr>
      <w:tr w:rsidR="001D6079" w:rsidRPr="0040482C" w14:paraId="268EE2D4" w14:textId="77777777" w:rsidTr="001D6079">
        <w:trPr>
          <w:cantSplit/>
        </w:trPr>
        <w:tc>
          <w:tcPr>
            <w:tcW w:w="1200" w:type="dxa"/>
          </w:tcPr>
          <w:p w14:paraId="58D8E650" w14:textId="5CBF63C4" w:rsidR="001D6079" w:rsidRPr="0040482C" w:rsidRDefault="001D6079" w:rsidP="001D6079">
            <w:pPr>
              <w:pStyle w:val="TableNumbered"/>
              <w:numPr>
                <w:ilvl w:val="0"/>
                <w:numId w:val="0"/>
              </w:numPr>
              <w:ind w:left="360" w:hanging="360"/>
            </w:pPr>
            <w:r w:rsidRPr="0040482C">
              <w:t>5</w:t>
            </w:r>
            <w:r w:rsidR="00633E28">
              <w:t>6</w:t>
            </w:r>
          </w:p>
        </w:tc>
        <w:tc>
          <w:tcPr>
            <w:tcW w:w="1154" w:type="dxa"/>
          </w:tcPr>
          <w:p w14:paraId="1408820D" w14:textId="77777777" w:rsidR="001D6079" w:rsidRPr="0040482C" w:rsidRDefault="001D6079" w:rsidP="001D6079">
            <w:pPr>
              <w:pStyle w:val="TableText10"/>
            </w:pPr>
            <w:r w:rsidRPr="0040482C">
              <w:t>25A</w:t>
            </w:r>
          </w:p>
        </w:tc>
        <w:tc>
          <w:tcPr>
            <w:tcW w:w="2268" w:type="dxa"/>
          </w:tcPr>
          <w:p w14:paraId="2571F149" w14:textId="77777777" w:rsidR="001D6079" w:rsidRPr="0040482C" w:rsidRDefault="001D6079" w:rsidP="001D6079">
            <w:pPr>
              <w:pStyle w:val="TableText10"/>
            </w:pPr>
            <w:r w:rsidRPr="0040482C">
              <w:t>rideshare vehicle</w:t>
            </w:r>
          </w:p>
        </w:tc>
        <w:tc>
          <w:tcPr>
            <w:tcW w:w="1865" w:type="dxa"/>
          </w:tcPr>
          <w:p w14:paraId="1F4238B7" w14:textId="77777777" w:rsidR="001D6079" w:rsidRPr="0040482C" w:rsidRDefault="001D6079" w:rsidP="001D6079">
            <w:pPr>
              <w:pStyle w:val="TableText10"/>
            </w:pPr>
          </w:p>
        </w:tc>
        <w:tc>
          <w:tcPr>
            <w:tcW w:w="1276" w:type="dxa"/>
          </w:tcPr>
          <w:p w14:paraId="4A868AFD" w14:textId="77777777" w:rsidR="001D6079" w:rsidRPr="0040482C" w:rsidRDefault="001D6079" w:rsidP="001D6079">
            <w:pPr>
              <w:pStyle w:val="TableText10"/>
            </w:pPr>
            <w:r w:rsidRPr="0040482C">
              <w:t>entitled</w:t>
            </w:r>
          </w:p>
        </w:tc>
      </w:tr>
      <w:tr w:rsidR="001D6079" w:rsidRPr="0040482C" w14:paraId="15509BDE" w14:textId="77777777" w:rsidTr="001D6079">
        <w:trPr>
          <w:cantSplit/>
        </w:trPr>
        <w:tc>
          <w:tcPr>
            <w:tcW w:w="1200" w:type="dxa"/>
          </w:tcPr>
          <w:p w14:paraId="52A0AD77" w14:textId="2E523F8C" w:rsidR="001D6079" w:rsidRPr="0040482C" w:rsidRDefault="001D6079" w:rsidP="001D6079">
            <w:pPr>
              <w:pStyle w:val="TableNumbered"/>
              <w:numPr>
                <w:ilvl w:val="0"/>
                <w:numId w:val="0"/>
              </w:numPr>
              <w:ind w:left="360" w:hanging="360"/>
            </w:pPr>
            <w:r w:rsidRPr="0040482C">
              <w:t>5</w:t>
            </w:r>
            <w:r w:rsidR="00633E28">
              <w:t>7</w:t>
            </w:r>
          </w:p>
        </w:tc>
        <w:tc>
          <w:tcPr>
            <w:tcW w:w="1154" w:type="dxa"/>
          </w:tcPr>
          <w:p w14:paraId="792B8EE3" w14:textId="77777777" w:rsidR="001D6079" w:rsidRPr="0040482C" w:rsidRDefault="001D6079" w:rsidP="001D6079">
            <w:pPr>
              <w:pStyle w:val="TableText10"/>
            </w:pPr>
            <w:r w:rsidRPr="0040482C">
              <w:t>25B</w:t>
            </w:r>
          </w:p>
        </w:tc>
        <w:tc>
          <w:tcPr>
            <w:tcW w:w="2268" w:type="dxa"/>
          </w:tcPr>
          <w:p w14:paraId="17158072" w14:textId="77777777" w:rsidR="001D6079" w:rsidRPr="0040482C" w:rsidRDefault="001D6079" w:rsidP="001D6079">
            <w:pPr>
              <w:pStyle w:val="TableText10"/>
            </w:pPr>
            <w:r w:rsidRPr="0040482C">
              <w:t>personal share vehicle</w:t>
            </w:r>
          </w:p>
        </w:tc>
        <w:tc>
          <w:tcPr>
            <w:tcW w:w="1865" w:type="dxa"/>
          </w:tcPr>
          <w:p w14:paraId="2EED5122" w14:textId="77777777" w:rsidR="001D6079" w:rsidRPr="0040482C" w:rsidRDefault="001D6079" w:rsidP="001D6079">
            <w:pPr>
              <w:pStyle w:val="TableText10"/>
            </w:pPr>
          </w:p>
        </w:tc>
        <w:tc>
          <w:tcPr>
            <w:tcW w:w="1276" w:type="dxa"/>
          </w:tcPr>
          <w:p w14:paraId="614E5646" w14:textId="77777777" w:rsidR="001D6079" w:rsidRPr="0040482C" w:rsidRDefault="001D6079" w:rsidP="001D6079">
            <w:pPr>
              <w:pStyle w:val="TableText10"/>
            </w:pPr>
            <w:r w:rsidRPr="0040482C">
              <w:t>not entitled</w:t>
            </w:r>
          </w:p>
        </w:tc>
      </w:tr>
      <w:tr w:rsidR="001D6079" w:rsidRPr="0040482C" w14:paraId="11F4B9BB" w14:textId="77777777" w:rsidTr="001D6079">
        <w:trPr>
          <w:cantSplit/>
        </w:trPr>
        <w:tc>
          <w:tcPr>
            <w:tcW w:w="1200" w:type="dxa"/>
          </w:tcPr>
          <w:p w14:paraId="50783E5B" w14:textId="7A34E184" w:rsidR="001D6079" w:rsidRPr="0040482C" w:rsidRDefault="001D6079" w:rsidP="001D6079">
            <w:pPr>
              <w:pStyle w:val="TableNumbered"/>
              <w:numPr>
                <w:ilvl w:val="0"/>
                <w:numId w:val="0"/>
              </w:numPr>
              <w:ind w:left="360" w:hanging="360"/>
            </w:pPr>
            <w:r w:rsidRPr="0040482C">
              <w:t>5</w:t>
            </w:r>
            <w:r w:rsidR="00633E28">
              <w:t>8</w:t>
            </w:r>
          </w:p>
        </w:tc>
        <w:tc>
          <w:tcPr>
            <w:tcW w:w="1154" w:type="dxa"/>
          </w:tcPr>
          <w:p w14:paraId="2FFD176E" w14:textId="77777777" w:rsidR="001D6079" w:rsidRPr="0040482C" w:rsidRDefault="001D6079" w:rsidP="001D6079">
            <w:pPr>
              <w:pStyle w:val="TableText10"/>
            </w:pPr>
            <w:r w:rsidRPr="0040482C">
              <w:t>25B</w:t>
            </w:r>
          </w:p>
        </w:tc>
        <w:tc>
          <w:tcPr>
            <w:tcW w:w="2268" w:type="dxa"/>
          </w:tcPr>
          <w:p w14:paraId="1B789FCB" w14:textId="77777777" w:rsidR="001D6079" w:rsidRPr="0040482C" w:rsidRDefault="001D6079" w:rsidP="001D6079">
            <w:pPr>
              <w:pStyle w:val="TableText10"/>
            </w:pPr>
            <w:r w:rsidRPr="0040482C">
              <w:t>personal share vehicle</w:t>
            </w:r>
          </w:p>
        </w:tc>
        <w:tc>
          <w:tcPr>
            <w:tcW w:w="1865" w:type="dxa"/>
          </w:tcPr>
          <w:p w14:paraId="7D96F77F" w14:textId="77777777" w:rsidR="001D6079" w:rsidRPr="0040482C" w:rsidRDefault="001D6079" w:rsidP="001D6079">
            <w:pPr>
              <w:pStyle w:val="TableText10"/>
            </w:pPr>
          </w:p>
        </w:tc>
        <w:tc>
          <w:tcPr>
            <w:tcW w:w="1276" w:type="dxa"/>
          </w:tcPr>
          <w:p w14:paraId="23A1D1A7" w14:textId="77777777" w:rsidR="001D6079" w:rsidRPr="0040482C" w:rsidRDefault="001D6079" w:rsidP="001D6079">
            <w:pPr>
              <w:pStyle w:val="TableText10"/>
            </w:pPr>
            <w:r w:rsidRPr="0040482C">
              <w:t>entitled</w:t>
            </w:r>
          </w:p>
        </w:tc>
      </w:tr>
      <w:tr w:rsidR="001D6079" w:rsidRPr="0040482C" w14:paraId="4624E15E" w14:textId="77777777" w:rsidTr="001D6079">
        <w:trPr>
          <w:cantSplit/>
        </w:trPr>
        <w:tc>
          <w:tcPr>
            <w:tcW w:w="1200" w:type="dxa"/>
          </w:tcPr>
          <w:p w14:paraId="7485E80A" w14:textId="58B09C91" w:rsidR="001D6079" w:rsidRPr="0040482C" w:rsidRDefault="001D6079" w:rsidP="001D6079">
            <w:pPr>
              <w:pStyle w:val="TableNumbered"/>
              <w:numPr>
                <w:ilvl w:val="0"/>
                <w:numId w:val="0"/>
              </w:numPr>
              <w:ind w:left="360" w:hanging="360"/>
            </w:pPr>
            <w:r w:rsidRPr="0040482C">
              <w:t>5</w:t>
            </w:r>
            <w:r w:rsidR="00633E28">
              <w:t>9</w:t>
            </w:r>
          </w:p>
        </w:tc>
        <w:tc>
          <w:tcPr>
            <w:tcW w:w="1154" w:type="dxa"/>
          </w:tcPr>
          <w:p w14:paraId="5023AECF" w14:textId="77777777" w:rsidR="001D6079" w:rsidRPr="0040482C" w:rsidRDefault="001D6079" w:rsidP="001D6079">
            <w:pPr>
              <w:pStyle w:val="TableText10"/>
              <w:keepNext/>
            </w:pPr>
            <w:r w:rsidRPr="0040482C">
              <w:t>26</w:t>
            </w:r>
          </w:p>
        </w:tc>
        <w:tc>
          <w:tcPr>
            <w:tcW w:w="2268" w:type="dxa"/>
          </w:tcPr>
          <w:p w14:paraId="03F619B0" w14:textId="77777777" w:rsidR="001D6079" w:rsidRPr="0040482C" w:rsidRDefault="001D6079" w:rsidP="001D6079">
            <w:pPr>
              <w:pStyle w:val="TableText10"/>
              <w:keepNext/>
            </w:pPr>
            <w:r w:rsidRPr="0040482C">
              <w:t>light rail vehicle</w:t>
            </w:r>
          </w:p>
        </w:tc>
        <w:tc>
          <w:tcPr>
            <w:tcW w:w="1865" w:type="dxa"/>
          </w:tcPr>
          <w:p w14:paraId="13442A4A" w14:textId="77777777" w:rsidR="001D6079" w:rsidRPr="0040482C" w:rsidRDefault="001D6079" w:rsidP="001D6079">
            <w:pPr>
              <w:pStyle w:val="TableText10"/>
              <w:keepNext/>
            </w:pPr>
          </w:p>
        </w:tc>
        <w:tc>
          <w:tcPr>
            <w:tcW w:w="1276" w:type="dxa"/>
          </w:tcPr>
          <w:p w14:paraId="391718F2" w14:textId="77777777" w:rsidR="001D6079" w:rsidRPr="0040482C" w:rsidRDefault="001D6079" w:rsidP="001D6079">
            <w:pPr>
              <w:pStyle w:val="TableText10"/>
              <w:keepNext/>
            </w:pPr>
            <w:r w:rsidRPr="0040482C">
              <w:t>not entitled</w:t>
            </w:r>
          </w:p>
        </w:tc>
      </w:tr>
      <w:tr w:rsidR="001D6079" w:rsidRPr="0040482C" w14:paraId="51EE1009" w14:textId="77777777" w:rsidTr="001D6079">
        <w:trPr>
          <w:cantSplit/>
        </w:trPr>
        <w:tc>
          <w:tcPr>
            <w:tcW w:w="1200" w:type="dxa"/>
          </w:tcPr>
          <w:p w14:paraId="0FE6AABE" w14:textId="56435152" w:rsidR="001D6079" w:rsidRPr="0040482C" w:rsidRDefault="00633E28" w:rsidP="001D6079">
            <w:pPr>
              <w:pStyle w:val="TableNumbered"/>
              <w:numPr>
                <w:ilvl w:val="0"/>
                <w:numId w:val="0"/>
              </w:numPr>
              <w:ind w:left="360" w:hanging="360"/>
            </w:pPr>
            <w:r>
              <w:t>60</w:t>
            </w:r>
          </w:p>
        </w:tc>
        <w:tc>
          <w:tcPr>
            <w:tcW w:w="1154" w:type="dxa"/>
          </w:tcPr>
          <w:p w14:paraId="1F30FB77" w14:textId="77777777" w:rsidR="001D6079" w:rsidRPr="0040482C" w:rsidRDefault="001D6079" w:rsidP="001D6079">
            <w:pPr>
              <w:pStyle w:val="TableText10"/>
            </w:pPr>
            <w:r w:rsidRPr="0040482C">
              <w:t>26</w:t>
            </w:r>
          </w:p>
        </w:tc>
        <w:tc>
          <w:tcPr>
            <w:tcW w:w="2268" w:type="dxa"/>
          </w:tcPr>
          <w:p w14:paraId="352BBFCD" w14:textId="77777777" w:rsidR="001D6079" w:rsidRPr="0040482C" w:rsidRDefault="001D6079" w:rsidP="001D6079">
            <w:pPr>
              <w:pStyle w:val="TableText10"/>
            </w:pPr>
            <w:r w:rsidRPr="0040482C">
              <w:t>light rail vehicle</w:t>
            </w:r>
          </w:p>
        </w:tc>
        <w:tc>
          <w:tcPr>
            <w:tcW w:w="1865" w:type="dxa"/>
          </w:tcPr>
          <w:p w14:paraId="6A69DE75" w14:textId="77777777" w:rsidR="001D6079" w:rsidRPr="0040482C" w:rsidRDefault="001D6079" w:rsidP="001D6079">
            <w:pPr>
              <w:pStyle w:val="TableText10"/>
            </w:pPr>
          </w:p>
        </w:tc>
        <w:tc>
          <w:tcPr>
            <w:tcW w:w="1276" w:type="dxa"/>
          </w:tcPr>
          <w:p w14:paraId="7A88172D" w14:textId="77777777" w:rsidR="001D6079" w:rsidRPr="0040482C" w:rsidRDefault="001D6079" w:rsidP="001D6079">
            <w:pPr>
              <w:pStyle w:val="TableText10"/>
            </w:pPr>
            <w:r w:rsidRPr="0040482C">
              <w:t>entitled</w:t>
            </w:r>
          </w:p>
        </w:tc>
      </w:tr>
    </w:tbl>
    <w:p w14:paraId="34E9F852" w14:textId="77777777" w:rsidR="00734926" w:rsidRPr="0040482C" w:rsidRDefault="00734926" w:rsidP="00BA3C17">
      <w:pPr>
        <w:pStyle w:val="PageBreak"/>
      </w:pPr>
    </w:p>
    <w:p w14:paraId="199579F9" w14:textId="77777777" w:rsidR="0008376A" w:rsidRDefault="0008376A">
      <w:pPr>
        <w:pStyle w:val="03Schedule"/>
        <w:sectPr w:rsidR="0008376A">
          <w:headerReference w:type="even" r:id="rId86"/>
          <w:headerReference w:type="default" r:id="rId87"/>
          <w:footerReference w:type="even" r:id="rId88"/>
          <w:footerReference w:type="default" r:id="rId89"/>
          <w:type w:val="continuous"/>
          <w:pgSz w:w="11907" w:h="16839" w:code="9"/>
          <w:pgMar w:top="3880" w:right="1900" w:bottom="3100" w:left="2300" w:header="2280" w:footer="1760" w:gutter="0"/>
          <w:cols w:space="720"/>
        </w:sectPr>
      </w:pPr>
    </w:p>
    <w:p w14:paraId="7C251999" w14:textId="77777777" w:rsidR="001A757D" w:rsidRPr="0040482C" w:rsidRDefault="001A757D" w:rsidP="00611C3B">
      <w:pPr>
        <w:pStyle w:val="PageBreak"/>
      </w:pPr>
      <w:r w:rsidRPr="0040482C">
        <w:br w:type="page"/>
      </w:r>
    </w:p>
    <w:p w14:paraId="36540DF3" w14:textId="77777777" w:rsidR="001A757D" w:rsidRPr="0040482C" w:rsidRDefault="001A757D" w:rsidP="00611C3B">
      <w:pPr>
        <w:pStyle w:val="Dict-Heading"/>
      </w:pPr>
      <w:bookmarkStart w:id="52" w:name="_Toc153373721"/>
      <w:r w:rsidRPr="0040482C">
        <w:lastRenderedPageBreak/>
        <w:t>Dictionary</w:t>
      </w:r>
      <w:bookmarkEnd w:id="52"/>
    </w:p>
    <w:p w14:paraId="51A7F76C" w14:textId="77777777" w:rsidR="001A757D" w:rsidRPr="0040482C" w:rsidRDefault="001A757D" w:rsidP="0040482C">
      <w:pPr>
        <w:pStyle w:val="ref"/>
        <w:keepNext/>
      </w:pPr>
      <w:r w:rsidRPr="0040482C">
        <w:t>(see s 3)</w:t>
      </w:r>
    </w:p>
    <w:p w14:paraId="33CBC366" w14:textId="0885ACCF" w:rsidR="001A757D" w:rsidRPr="0040482C" w:rsidRDefault="001A757D" w:rsidP="0040482C">
      <w:pPr>
        <w:pStyle w:val="aNote"/>
        <w:keepNext/>
      </w:pPr>
      <w:r w:rsidRPr="0040482C">
        <w:rPr>
          <w:i/>
        </w:rPr>
        <w:t>Note 1</w:t>
      </w:r>
      <w:r w:rsidRPr="0040482C">
        <w:rPr>
          <w:i/>
        </w:rPr>
        <w:tab/>
      </w:r>
      <w:r w:rsidRPr="0040482C">
        <w:t xml:space="preserve">The </w:t>
      </w:r>
      <w:hyperlink r:id="rId90" w:tooltip="A2001-14" w:history="1">
        <w:r w:rsidR="001B5459" w:rsidRPr="0040482C">
          <w:rPr>
            <w:rStyle w:val="charCitHyperlinkAbbrev"/>
          </w:rPr>
          <w:t>Legislation Act</w:t>
        </w:r>
      </w:hyperlink>
      <w:r w:rsidRPr="0040482C">
        <w:t xml:space="preserve"> contains definitions and other provisions relevant to this regulation.</w:t>
      </w:r>
    </w:p>
    <w:p w14:paraId="2B13FFBD" w14:textId="2D739512" w:rsidR="001A757D" w:rsidRPr="0040482C" w:rsidRDefault="001A757D" w:rsidP="00611C3B">
      <w:pPr>
        <w:pStyle w:val="aNote"/>
      </w:pPr>
      <w:r w:rsidRPr="0040482C">
        <w:rPr>
          <w:i/>
        </w:rPr>
        <w:t>Note 2</w:t>
      </w:r>
      <w:r w:rsidRPr="0040482C">
        <w:rPr>
          <w:i/>
        </w:rPr>
        <w:tab/>
      </w:r>
      <w:r w:rsidRPr="0040482C">
        <w:t xml:space="preserve">For example, the </w:t>
      </w:r>
      <w:hyperlink r:id="rId91" w:tooltip="A2001-14" w:history="1">
        <w:r w:rsidR="001B5459" w:rsidRPr="0040482C">
          <w:rPr>
            <w:rStyle w:val="charCitHyperlinkAbbrev"/>
          </w:rPr>
          <w:t>Legislation Act</w:t>
        </w:r>
      </w:hyperlink>
      <w:r w:rsidRPr="0040482C">
        <w:t>, dict, pt 1, defines the following terms:</w:t>
      </w:r>
    </w:p>
    <w:p w14:paraId="3946CDC7" w14:textId="77777777" w:rsidR="00194BE3"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Commonwealth</w:t>
      </w:r>
    </w:p>
    <w:p w14:paraId="6C511625" w14:textId="77777777" w:rsidR="00351E4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351E47" w:rsidRPr="0040482C">
        <w:t>Criminal Code</w:t>
      </w:r>
    </w:p>
    <w:p w14:paraId="7DCB74E3" w14:textId="77777777" w:rsidR="00194BE3"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disallowable instrument</w:t>
      </w:r>
      <w:r w:rsidR="008617DE" w:rsidRPr="0040482C">
        <w:t xml:space="preserve"> (see s 9)</w:t>
      </w:r>
    </w:p>
    <w:p w14:paraId="01501497" w14:textId="77777777" w:rsidR="00194BE3"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in relation to</w:t>
      </w:r>
    </w:p>
    <w:p w14:paraId="78329C86" w14:textId="77777777" w:rsidR="00194BE3"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quarter</w:t>
      </w:r>
    </w:p>
    <w:p w14:paraId="48ABBF4F" w14:textId="77777777" w:rsidR="00194BE3" w:rsidRPr="0040482C" w:rsidRDefault="0040482C" w:rsidP="0040482C">
      <w:pPr>
        <w:pStyle w:val="aNoteBulletss"/>
        <w:keepNext/>
        <w:tabs>
          <w:tab w:val="left" w:pos="2300"/>
        </w:tabs>
      </w:pPr>
      <w:r w:rsidRPr="0040482C">
        <w:rPr>
          <w:rFonts w:ascii="Symbol" w:hAnsi="Symbol"/>
        </w:rPr>
        <w:t></w:t>
      </w:r>
      <w:r w:rsidRPr="0040482C">
        <w:rPr>
          <w:rFonts w:ascii="Symbol" w:hAnsi="Symbol"/>
        </w:rPr>
        <w:tab/>
      </w:r>
      <w:r w:rsidR="00194BE3" w:rsidRPr="0040482C">
        <w:t xml:space="preserve">the </w:t>
      </w:r>
      <w:r w:rsidR="00DD7DAE" w:rsidRPr="0040482C">
        <w:t>T</w:t>
      </w:r>
      <w:r w:rsidR="00194BE3" w:rsidRPr="0040482C">
        <w:t>erritory.</w:t>
      </w:r>
    </w:p>
    <w:p w14:paraId="7FD71E06" w14:textId="7BD98C7D" w:rsidR="001A757D" w:rsidRPr="0040482C" w:rsidRDefault="001A757D" w:rsidP="00611C3B">
      <w:pPr>
        <w:pStyle w:val="aNote"/>
        <w:rPr>
          <w:iCs/>
        </w:rPr>
      </w:pPr>
      <w:r w:rsidRPr="0040482C">
        <w:rPr>
          <w:i/>
        </w:rPr>
        <w:t>Note 3</w:t>
      </w:r>
      <w:r w:rsidRPr="0040482C">
        <w:rPr>
          <w:i/>
        </w:rPr>
        <w:tab/>
      </w:r>
      <w:r w:rsidRPr="0040482C">
        <w:rPr>
          <w:iCs/>
        </w:rPr>
        <w:t xml:space="preserve">Terms used in this regulation have the same meaning that they have in the </w:t>
      </w:r>
      <w:hyperlink r:id="rId92" w:tooltip="A2019-12" w:history="1">
        <w:r w:rsidR="00293A1B" w:rsidRPr="00293A1B">
          <w:rPr>
            <w:rStyle w:val="charCitHyperlinkItal"/>
          </w:rPr>
          <w:t>Motor Accident Injuries Act 2019</w:t>
        </w:r>
      </w:hyperlink>
      <w:r w:rsidRPr="0040482C">
        <w:rPr>
          <w:iCs/>
        </w:rPr>
        <w:t xml:space="preserve"> (see </w:t>
      </w:r>
      <w:hyperlink r:id="rId93" w:tooltip="A2001-14" w:history="1">
        <w:r w:rsidR="001B5459" w:rsidRPr="0040482C">
          <w:rPr>
            <w:rStyle w:val="charCitHyperlinkAbbrev"/>
          </w:rPr>
          <w:t>Legislation Act</w:t>
        </w:r>
      </w:hyperlink>
      <w:r w:rsidRPr="0040482C">
        <w:rPr>
          <w:iCs/>
        </w:rPr>
        <w:t xml:space="preserve">, s 148).  For example, the following terms are defined in the </w:t>
      </w:r>
      <w:hyperlink r:id="rId94" w:tooltip="A2019-12" w:history="1">
        <w:r w:rsidR="00293A1B" w:rsidRPr="00293A1B">
          <w:rPr>
            <w:rStyle w:val="charCitHyperlinkItal"/>
          </w:rPr>
          <w:t>Motor Accident Injuries Act 2019</w:t>
        </w:r>
      </w:hyperlink>
      <w:r w:rsidRPr="0040482C">
        <w:rPr>
          <w:iCs/>
        </w:rPr>
        <w:t>, dict:</w:t>
      </w:r>
    </w:p>
    <w:p w14:paraId="7AA7D4B2" w14:textId="77777777" w:rsidR="001A757D"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4D729B" w:rsidRPr="0040482C">
        <w:t>APRA</w:t>
      </w:r>
    </w:p>
    <w:p w14:paraId="1397AF12" w14:textId="77777777" w:rsidR="004D729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4D729B" w:rsidRPr="0040482C">
        <w:t>ASIC</w:t>
      </w:r>
    </w:p>
    <w:p w14:paraId="3D240980" w14:textId="77777777" w:rsidR="00BA3C1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BA3C17" w:rsidRPr="0040482C">
        <w:t>AWE</w:t>
      </w:r>
      <w:r w:rsidR="0085666E" w:rsidRPr="0040482C">
        <w:t xml:space="preserve"> (see s 17)</w:t>
      </w:r>
    </w:p>
    <w:p w14:paraId="2A8D43AD" w14:textId="77777777" w:rsidR="00BA3C1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BA3C17" w:rsidRPr="0040482C">
        <w:t>AWE adjusted</w:t>
      </w:r>
    </w:p>
    <w:p w14:paraId="086A04F7" w14:textId="77777777" w:rsidR="00BA3C1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BA3C17" w:rsidRPr="0040482C">
        <w:t>AWE indexed</w:t>
      </w:r>
    </w:p>
    <w:p w14:paraId="664D2549" w14:textId="77777777" w:rsidR="00BA3C1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BA3C17" w:rsidRPr="0040482C">
        <w:t>Commonwealth</w:t>
      </w:r>
      <w:r w:rsidR="00194BE3" w:rsidRPr="0040482C">
        <w:t xml:space="preserve"> authority</w:t>
      </w:r>
    </w:p>
    <w:p w14:paraId="389C4C25"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defined benefits</w:t>
      </w:r>
      <w:r w:rsidR="006F05EA" w:rsidRPr="0040482C">
        <w:t xml:space="preserve"> (see s 33)</w:t>
      </w:r>
    </w:p>
    <w:p w14:paraId="5F21ED20"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income replacement benefit payment</w:t>
      </w:r>
    </w:p>
    <w:p w14:paraId="3392BB9E" w14:textId="77777777" w:rsidR="00BA3C17"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BA3C17" w:rsidRPr="0040482C">
        <w:t>insurance industry deed</w:t>
      </w:r>
      <w:r w:rsidR="00194BE3" w:rsidRPr="0040482C">
        <w:t xml:space="preserve"> (see s </w:t>
      </w:r>
      <w:r w:rsidR="00C40016" w:rsidRPr="0040482C">
        <w:t>359</w:t>
      </w:r>
      <w:r w:rsidR="00194BE3" w:rsidRPr="0040482C">
        <w:t>)</w:t>
      </w:r>
    </w:p>
    <w:p w14:paraId="1F3471D2"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insurer</w:t>
      </w:r>
    </w:p>
    <w:p w14:paraId="39FF3B77"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licensed insurer</w:t>
      </w:r>
    </w:p>
    <w:p w14:paraId="0F990439"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MAI commission</w:t>
      </w:r>
    </w:p>
    <w:p w14:paraId="7C43B6D3"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MAI guidelines</w:t>
      </w:r>
    </w:p>
    <w:p w14:paraId="4CC9BEBA"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4D729B" w:rsidRPr="0040482C">
        <w:t>MAI insurer</w:t>
      </w:r>
      <w:r w:rsidR="00194BE3" w:rsidRPr="0040482C">
        <w:t xml:space="preserve"> (see s 2</w:t>
      </w:r>
      <w:r w:rsidR="008C0836" w:rsidRPr="0040482C">
        <w:t>8</w:t>
      </w:r>
      <w:r w:rsidR="00C40016" w:rsidRPr="0040482C">
        <w:t>7</w:t>
      </w:r>
      <w:r w:rsidR="00194BE3" w:rsidRPr="0040482C">
        <w:t>)</w:t>
      </w:r>
    </w:p>
    <w:p w14:paraId="72A6CBFF" w14:textId="77777777" w:rsidR="004D729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4D729B" w:rsidRPr="0040482C">
        <w:t>MAI policy</w:t>
      </w:r>
      <w:r w:rsidR="00194BE3" w:rsidRPr="0040482C">
        <w:t xml:space="preserve"> (see s 2</w:t>
      </w:r>
      <w:r w:rsidR="00E653D4" w:rsidRPr="0040482C">
        <w:t>8</w:t>
      </w:r>
      <w:r w:rsidR="00C40016" w:rsidRPr="0040482C">
        <w:t>6</w:t>
      </w:r>
      <w:r w:rsidR="00194BE3" w:rsidRPr="0040482C">
        <w:t>)</w:t>
      </w:r>
    </w:p>
    <w:p w14:paraId="03ECDB18" w14:textId="77777777" w:rsidR="00FD40FB"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FD40FB" w:rsidRPr="0040482C">
        <w:t>MAI premium</w:t>
      </w:r>
      <w:r w:rsidR="00194BE3" w:rsidRPr="0040482C">
        <w:t xml:space="preserve"> (see s </w:t>
      </w:r>
      <w:r w:rsidR="00F2024D" w:rsidRPr="0040482C">
        <w:t>31</w:t>
      </w:r>
      <w:r w:rsidR="00C40016" w:rsidRPr="0040482C">
        <w:t>4</w:t>
      </w:r>
      <w:r w:rsidR="00194BE3" w:rsidRPr="0040482C">
        <w:t>)</w:t>
      </w:r>
    </w:p>
    <w:p w14:paraId="309DD919" w14:textId="77777777" w:rsidR="00AE2856"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AE2856" w:rsidRPr="0040482C">
        <w:t xml:space="preserve">motor accident </w:t>
      </w:r>
      <w:r w:rsidR="00194BE3" w:rsidRPr="0040482C">
        <w:t>(see s 10)</w:t>
      </w:r>
    </w:p>
    <w:p w14:paraId="329E6275" w14:textId="77777777" w:rsidR="00AE2856" w:rsidRPr="0040482C" w:rsidRDefault="0040482C" w:rsidP="0040482C">
      <w:pPr>
        <w:pStyle w:val="aNoteBulletss"/>
        <w:tabs>
          <w:tab w:val="left" w:pos="2300"/>
        </w:tabs>
      </w:pPr>
      <w:r w:rsidRPr="0040482C">
        <w:rPr>
          <w:rFonts w:ascii="Symbol" w:hAnsi="Symbol"/>
        </w:rPr>
        <w:lastRenderedPageBreak/>
        <w:t></w:t>
      </w:r>
      <w:r w:rsidRPr="0040482C">
        <w:rPr>
          <w:rFonts w:ascii="Symbol" w:hAnsi="Symbol"/>
        </w:rPr>
        <w:tab/>
      </w:r>
      <w:r w:rsidR="00AE2856" w:rsidRPr="0040482C">
        <w:t>motor accident claim</w:t>
      </w:r>
      <w:r w:rsidR="00194BE3" w:rsidRPr="0040482C">
        <w:t xml:space="preserve"> (see s 2</w:t>
      </w:r>
      <w:r w:rsidR="00F2024D" w:rsidRPr="0040482C">
        <w:t>2</w:t>
      </w:r>
      <w:r w:rsidR="00C40016" w:rsidRPr="0040482C">
        <w:t>8</w:t>
      </w:r>
      <w:r w:rsidR="00194BE3" w:rsidRPr="0040482C">
        <w:t>)</w:t>
      </w:r>
    </w:p>
    <w:p w14:paraId="0133FC32" w14:textId="77777777" w:rsidR="00AE2856" w:rsidRPr="0040482C" w:rsidRDefault="0040482C" w:rsidP="0040482C">
      <w:pPr>
        <w:pStyle w:val="aNoteBulletss"/>
        <w:keepNext/>
        <w:tabs>
          <w:tab w:val="left" w:pos="2300"/>
        </w:tabs>
      </w:pPr>
      <w:r w:rsidRPr="0040482C">
        <w:rPr>
          <w:rFonts w:ascii="Symbol" w:hAnsi="Symbol"/>
        </w:rPr>
        <w:t></w:t>
      </w:r>
      <w:r w:rsidRPr="0040482C">
        <w:rPr>
          <w:rFonts w:ascii="Symbol" w:hAnsi="Symbol"/>
        </w:rPr>
        <w:tab/>
      </w:r>
      <w:r w:rsidR="00AE2856" w:rsidRPr="0040482C">
        <w:t>nominal defendant</w:t>
      </w:r>
      <w:r w:rsidR="00194BE3" w:rsidRPr="0040482C">
        <w:t xml:space="preserve"> (see s 1</w:t>
      </w:r>
      <w:r w:rsidR="00F2024D" w:rsidRPr="0040482C">
        <w:t>6</w:t>
      </w:r>
      <w:r w:rsidR="00194BE3" w:rsidRPr="0040482C">
        <w:t>)</w:t>
      </w:r>
      <w:r w:rsidR="003152A2" w:rsidRPr="0040482C">
        <w:t>.</w:t>
      </w:r>
    </w:p>
    <w:p w14:paraId="425ECDE6" w14:textId="2D3140A8" w:rsidR="00BA3C17" w:rsidRPr="0040482C" w:rsidRDefault="00BA3C17" w:rsidP="00BA3C17">
      <w:pPr>
        <w:pStyle w:val="aNote"/>
      </w:pPr>
      <w:r w:rsidRPr="0040482C">
        <w:rPr>
          <w:i/>
        </w:rPr>
        <w:t>Note</w:t>
      </w:r>
      <w:r w:rsidR="00296EE5" w:rsidRPr="0040482C">
        <w:rPr>
          <w:i/>
        </w:rPr>
        <w:t xml:space="preserve"> 4</w:t>
      </w:r>
      <w:r w:rsidR="00296EE5" w:rsidRPr="0040482C">
        <w:rPr>
          <w:i/>
        </w:rPr>
        <w:tab/>
      </w:r>
      <w:r w:rsidR="00296EE5" w:rsidRPr="0040482C">
        <w:t xml:space="preserve">The </w:t>
      </w:r>
      <w:hyperlink r:id="rId95" w:tooltip="A1999-77" w:history="1">
        <w:r w:rsidR="00293A1B" w:rsidRPr="00293A1B">
          <w:rPr>
            <w:rStyle w:val="charCitHyperlinkItal"/>
          </w:rPr>
          <w:t>Road Transport (General) Act 1999</w:t>
        </w:r>
      </w:hyperlink>
      <w:r w:rsidR="00296EE5" w:rsidRPr="0040482C">
        <w:t xml:space="preserve"> contains definitions relevant to this Regulation. For example, the following terms are defined in the </w:t>
      </w:r>
      <w:hyperlink r:id="rId96" w:tooltip="A1999-77" w:history="1">
        <w:r w:rsidR="00293A1B" w:rsidRPr="00293A1B">
          <w:rPr>
            <w:rStyle w:val="charCitHyperlinkItal"/>
          </w:rPr>
          <w:t>Road Transport (General) Act 1999</w:t>
        </w:r>
      </w:hyperlink>
      <w:r w:rsidR="00296EE5" w:rsidRPr="0040482C">
        <w:t>, dictionary:</w:t>
      </w:r>
    </w:p>
    <w:p w14:paraId="4A0DD230"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driver</w:t>
      </w:r>
    </w:p>
    <w:p w14:paraId="0F455461"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jurisdiction</w:t>
      </w:r>
    </w:p>
    <w:p w14:paraId="71C2D804"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light rail vehicle</w:t>
      </w:r>
    </w:p>
    <w:p w14:paraId="5AE5F5EE"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motor vehicle</w:t>
      </w:r>
    </w:p>
    <w:p w14:paraId="43189BA1"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taxi</w:t>
      </w:r>
    </w:p>
    <w:p w14:paraId="2217461C" w14:textId="77777777" w:rsidR="00194BE3"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194BE3" w:rsidRPr="0040482C">
        <w:t>trader’s plate</w:t>
      </w:r>
    </w:p>
    <w:p w14:paraId="71E952BF" w14:textId="77777777" w:rsidR="00296EE5" w:rsidRPr="0040482C" w:rsidRDefault="0040482C" w:rsidP="0040482C">
      <w:pPr>
        <w:pStyle w:val="aNoteBulletss"/>
        <w:tabs>
          <w:tab w:val="left" w:pos="2300"/>
        </w:tabs>
      </w:pPr>
      <w:r w:rsidRPr="0040482C">
        <w:rPr>
          <w:rFonts w:ascii="Symbol" w:hAnsi="Symbol"/>
        </w:rPr>
        <w:t></w:t>
      </w:r>
      <w:r w:rsidRPr="0040482C">
        <w:rPr>
          <w:rFonts w:ascii="Symbol" w:hAnsi="Symbol"/>
        </w:rPr>
        <w:tab/>
      </w:r>
      <w:r w:rsidR="00296EE5" w:rsidRPr="0040482C">
        <w:t xml:space="preserve">vehicle. </w:t>
      </w:r>
    </w:p>
    <w:p w14:paraId="1F185A88" w14:textId="03A064CF" w:rsidR="00296EE5" w:rsidRPr="0040482C" w:rsidRDefault="00296EE5" w:rsidP="0040482C">
      <w:pPr>
        <w:pStyle w:val="aDef"/>
      </w:pPr>
      <w:r w:rsidRPr="0040482C">
        <w:rPr>
          <w:rStyle w:val="charBoldItals"/>
        </w:rPr>
        <w:t>ambulance</w:t>
      </w:r>
      <w:r w:rsidRPr="0040482C">
        <w:t xml:space="preserve">, for </w:t>
      </w:r>
      <w:r w:rsidR="00046C42" w:rsidRPr="0040482C">
        <w:t xml:space="preserve">schedule </w:t>
      </w:r>
      <w:r w:rsidR="00737CC7" w:rsidRPr="0040482C">
        <w:t>1</w:t>
      </w:r>
      <w:r w:rsidRPr="0040482C">
        <w:t xml:space="preserve"> (MAI premium classes)—see </w:t>
      </w:r>
      <w:r w:rsidR="000D77AE" w:rsidRPr="0040482C">
        <w:t>s</w:t>
      </w:r>
      <w:r w:rsidR="00942D10" w:rsidRPr="0040482C">
        <w:t>chedule</w:t>
      </w:r>
      <w:r w:rsidR="00633E28">
        <w:t> </w:t>
      </w:r>
      <w:r w:rsidR="00942D10" w:rsidRPr="0040482C">
        <w:t>1</w:t>
      </w:r>
      <w:r w:rsidRPr="0040482C">
        <w:t>, section </w:t>
      </w:r>
      <w:r w:rsidR="00942D10" w:rsidRPr="0040482C">
        <w:t>1.1</w:t>
      </w:r>
      <w:r w:rsidRPr="0040482C">
        <w:t>.</w:t>
      </w:r>
    </w:p>
    <w:p w14:paraId="0455D1AD" w14:textId="77777777" w:rsidR="00296EE5" w:rsidRPr="0040482C" w:rsidRDefault="00296EE5" w:rsidP="0040482C">
      <w:pPr>
        <w:pStyle w:val="aDef"/>
      </w:pPr>
      <w:r w:rsidRPr="0040482C">
        <w:rPr>
          <w:rStyle w:val="charBoldItals"/>
        </w:rPr>
        <w:t>annual MAI premium</w:t>
      </w:r>
      <w:r w:rsidRPr="0040482C">
        <w:t>, for an MAI policy, for part</w:t>
      </w:r>
      <w:r w:rsidR="00194BE3" w:rsidRPr="0040482C">
        <w:t> </w:t>
      </w:r>
      <w:r w:rsidR="001F6C03" w:rsidRPr="0040482C">
        <w:t>4</w:t>
      </w:r>
      <w:r w:rsidR="00194BE3" w:rsidRPr="0040482C">
        <w:t xml:space="preserve"> (MAI premiums)</w:t>
      </w:r>
      <w:r w:rsidRPr="0040482C">
        <w:t>—see section </w:t>
      </w:r>
      <w:r w:rsidR="00942D10" w:rsidRPr="0040482C">
        <w:t>14</w:t>
      </w:r>
      <w:r w:rsidRPr="0040482C">
        <w:t>.</w:t>
      </w:r>
    </w:p>
    <w:p w14:paraId="6B598B26" w14:textId="77777777" w:rsidR="00296EE5" w:rsidRPr="0040482C" w:rsidRDefault="00296EE5" w:rsidP="0040482C">
      <w:pPr>
        <w:pStyle w:val="aDef"/>
      </w:pPr>
      <w:r w:rsidRPr="0040482C">
        <w:rPr>
          <w:rStyle w:val="charBoldItals"/>
        </w:rPr>
        <w:t>breakdown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 xml:space="preserve">. </w:t>
      </w:r>
    </w:p>
    <w:p w14:paraId="653C1E93" w14:textId="77777777" w:rsidR="00296EE5" w:rsidRPr="0040482C" w:rsidRDefault="00296EE5" w:rsidP="0040482C">
      <w:pPr>
        <w:pStyle w:val="aDef"/>
      </w:pPr>
      <w:r w:rsidRPr="0040482C">
        <w:rPr>
          <w:rStyle w:val="charBoldItals"/>
        </w:rPr>
        <w:t>bus</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 xml:space="preserve">. </w:t>
      </w:r>
    </w:p>
    <w:p w14:paraId="4E6DCB49" w14:textId="77777777" w:rsidR="00296EE5" w:rsidRPr="0040482C" w:rsidRDefault="00296EE5" w:rsidP="0040482C">
      <w:pPr>
        <w:pStyle w:val="aDef"/>
      </w:pPr>
      <w:r w:rsidRPr="0040482C">
        <w:rPr>
          <w:rStyle w:val="charBoldItals"/>
        </w:rPr>
        <w:t>car rental service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 xml:space="preserve">. </w:t>
      </w:r>
    </w:p>
    <w:p w14:paraId="651CA036" w14:textId="77777777" w:rsidR="00296EE5" w:rsidRPr="0040482C" w:rsidRDefault="00296EE5" w:rsidP="0040482C">
      <w:pPr>
        <w:pStyle w:val="aDef"/>
      </w:pPr>
      <w:r w:rsidRPr="0040482C">
        <w:rPr>
          <w:rStyle w:val="charBoldItals"/>
        </w:rPr>
        <w:t>collection notice</w:t>
      </w:r>
      <w:r w:rsidRPr="0040482C">
        <w:t xml:space="preserve">—see section </w:t>
      </w:r>
      <w:r w:rsidR="00942D10" w:rsidRPr="0040482C">
        <w:t>22</w:t>
      </w:r>
      <w:r w:rsidRPr="0040482C">
        <w:t>.</w:t>
      </w:r>
    </w:p>
    <w:p w14:paraId="163B18A7" w14:textId="72FFBB57" w:rsidR="00296EE5" w:rsidRPr="0040482C" w:rsidRDefault="00296EE5" w:rsidP="0040482C">
      <w:pPr>
        <w:pStyle w:val="aDef"/>
      </w:pPr>
      <w:r w:rsidRPr="0040482C">
        <w:rPr>
          <w:rStyle w:val="charBoldItals"/>
        </w:rPr>
        <w:t>demand responsive service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742D7AC2" w14:textId="3C32F804" w:rsidR="00296EE5" w:rsidRPr="0040482C" w:rsidRDefault="00296EE5" w:rsidP="0040482C">
      <w:pPr>
        <w:pStyle w:val="aDef"/>
      </w:pPr>
      <w:r w:rsidRPr="0040482C">
        <w:rPr>
          <w:rStyle w:val="charBoldItals"/>
        </w:rPr>
        <w:t>drive-yourself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0FCB583E" w14:textId="77777777" w:rsidR="00296EE5" w:rsidRPr="0040482C" w:rsidRDefault="00296EE5" w:rsidP="0040482C">
      <w:pPr>
        <w:pStyle w:val="aDef"/>
      </w:pPr>
      <w:r w:rsidRPr="0040482C">
        <w:rPr>
          <w:rStyle w:val="charBoldItals"/>
        </w:rPr>
        <w:t>due date</w:t>
      </w:r>
      <w:r w:rsidRPr="0040482C">
        <w:t xml:space="preserve">—see section </w:t>
      </w:r>
      <w:r w:rsidR="00942D10" w:rsidRPr="0040482C">
        <w:t>22</w:t>
      </w:r>
      <w:r w:rsidRPr="0040482C">
        <w:t>.</w:t>
      </w:r>
    </w:p>
    <w:p w14:paraId="07050E6E" w14:textId="3C1E8B69" w:rsidR="00296EE5" w:rsidRPr="0040482C" w:rsidRDefault="00296EE5" w:rsidP="0040482C">
      <w:pPr>
        <w:pStyle w:val="aDef"/>
      </w:pPr>
      <w:r w:rsidRPr="0040482C">
        <w:rPr>
          <w:rStyle w:val="charBoldItals"/>
        </w:rPr>
        <w:lastRenderedPageBreak/>
        <w:t>firefighting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68074582" w14:textId="79A04ECF" w:rsidR="00296EE5" w:rsidRPr="0040482C" w:rsidRDefault="00296EE5" w:rsidP="0040482C">
      <w:pPr>
        <w:pStyle w:val="aDef"/>
      </w:pPr>
      <w:r w:rsidRPr="0040482C">
        <w:rPr>
          <w:rStyle w:val="charBoldItals"/>
        </w:rPr>
        <w:t>goods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w:t>
      </w:r>
      <w:r w:rsidR="000D77AE" w:rsidRPr="0040482C">
        <w:t> </w:t>
      </w:r>
      <w:r w:rsidR="00942D10" w:rsidRPr="0040482C">
        <w:t>1</w:t>
      </w:r>
      <w:r w:rsidRPr="0040482C">
        <w:t>, section </w:t>
      </w:r>
      <w:r w:rsidR="00942D10" w:rsidRPr="0040482C">
        <w:t>1.1</w:t>
      </w:r>
      <w:r w:rsidRPr="0040482C">
        <w:t>.</w:t>
      </w:r>
    </w:p>
    <w:p w14:paraId="7A028B3A" w14:textId="4CA55D52" w:rsidR="00296EE5" w:rsidRPr="0040482C" w:rsidRDefault="00296EE5" w:rsidP="0040482C">
      <w:pPr>
        <w:pStyle w:val="aDef"/>
      </w:pPr>
      <w:r w:rsidRPr="0040482C">
        <w:rPr>
          <w:rStyle w:val="charBoldItals"/>
        </w:rPr>
        <w:t>GVM</w:t>
      </w:r>
      <w:r w:rsidRPr="0040482C">
        <w:t xml:space="preserve">, of a vehicle,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4EA42BB4" w14:textId="5C7B5182" w:rsidR="00296EE5" w:rsidRPr="0040482C" w:rsidRDefault="00296EE5" w:rsidP="0040482C">
      <w:pPr>
        <w:pStyle w:val="aDef"/>
      </w:pPr>
      <w:r w:rsidRPr="0040482C">
        <w:rPr>
          <w:rStyle w:val="charBoldItals"/>
        </w:rPr>
        <w:t>hire car</w:t>
      </w:r>
      <w:r w:rsidRPr="0040482C">
        <w:t xml:space="preserve">, for </w:t>
      </w:r>
      <w:r w:rsidR="00046C42" w:rsidRPr="0040482C">
        <w:t xml:space="preserve">schedule </w:t>
      </w:r>
      <w:r w:rsidR="00372393"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0B2D6725" w14:textId="11F1995D" w:rsidR="00296EE5" w:rsidRPr="0040482C" w:rsidRDefault="00296EE5" w:rsidP="0040482C">
      <w:pPr>
        <w:pStyle w:val="aDef"/>
      </w:pPr>
      <w:r w:rsidRPr="0040482C">
        <w:rPr>
          <w:rStyle w:val="charBoldItals"/>
        </w:rPr>
        <w:t>historic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67DAA63E" w14:textId="5A2B6CB4" w:rsidR="00296EE5" w:rsidRPr="0040482C" w:rsidRDefault="00296EE5" w:rsidP="0040482C">
      <w:pPr>
        <w:pStyle w:val="aDef"/>
      </w:pPr>
      <w:r w:rsidRPr="0040482C">
        <w:rPr>
          <w:rStyle w:val="charBoldItals"/>
        </w:rPr>
        <w:t>implement</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4A289461" w14:textId="32B142FF" w:rsidR="00296EE5" w:rsidRPr="0040482C" w:rsidRDefault="00296EE5" w:rsidP="0040482C">
      <w:pPr>
        <w:pStyle w:val="aDef"/>
      </w:pPr>
      <w:r w:rsidRPr="0040482C">
        <w:rPr>
          <w:rStyle w:val="charBoldItals"/>
        </w:rPr>
        <w:t>input tax credit</w:t>
      </w:r>
      <w:r w:rsidRPr="0040482C">
        <w:t>—see the</w:t>
      </w:r>
      <w:r w:rsidRPr="0040482C">
        <w:rPr>
          <w:i/>
        </w:rPr>
        <w:t xml:space="preserve"> </w:t>
      </w:r>
      <w:hyperlink r:id="rId97" w:tooltip="Act 1999 No 55 (Cwlth)" w:history="1">
        <w:r w:rsidR="00293A1B" w:rsidRPr="0040482C">
          <w:rPr>
            <w:rStyle w:val="charCitHyperlinkItal"/>
          </w:rPr>
          <w:t>A New Tax System (Goods and Services) Act 1999</w:t>
        </w:r>
      </w:hyperlink>
      <w:r w:rsidRPr="0040482C">
        <w:t xml:space="preserve"> (Cwlth), section 195-1 (Dictionary).</w:t>
      </w:r>
    </w:p>
    <w:p w14:paraId="11D130BF" w14:textId="77777777" w:rsidR="002A5923" w:rsidRPr="0040482C" w:rsidRDefault="002A5923" w:rsidP="0040482C">
      <w:pPr>
        <w:pStyle w:val="aDef"/>
      </w:pPr>
      <w:r w:rsidRPr="0040482C">
        <w:rPr>
          <w:rStyle w:val="charBoldItals"/>
        </w:rPr>
        <w:t>input tax credit entitlement</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2147CB42" w14:textId="77777777" w:rsidR="00296EE5" w:rsidRPr="0040482C" w:rsidRDefault="00296EE5" w:rsidP="0040482C">
      <w:pPr>
        <w:pStyle w:val="aDef"/>
      </w:pPr>
      <w:r w:rsidRPr="0040482C">
        <w:rPr>
          <w:rStyle w:val="charBoldItals"/>
        </w:rPr>
        <w:t>MAI premium class</w:t>
      </w:r>
      <w:r w:rsidRPr="0040482C">
        <w:t xml:space="preserve">, </w:t>
      </w:r>
      <w:r w:rsidR="00194BE3" w:rsidRPr="0040482C">
        <w:t>for part </w:t>
      </w:r>
      <w:r w:rsidR="003B6BA2" w:rsidRPr="0040482C">
        <w:t>4</w:t>
      </w:r>
      <w:r w:rsidR="00194BE3" w:rsidRPr="0040482C">
        <w:t xml:space="preserve"> (MAI premiums)—see section </w:t>
      </w:r>
      <w:r w:rsidR="00942D10" w:rsidRPr="0040482C">
        <w:t>14</w:t>
      </w:r>
      <w:r w:rsidR="00194BE3" w:rsidRPr="0040482C">
        <w:t>.</w:t>
      </w:r>
    </w:p>
    <w:p w14:paraId="5A4D5B79" w14:textId="33E0F20C" w:rsidR="00296EE5" w:rsidRPr="0040482C" w:rsidRDefault="00296EE5" w:rsidP="0040482C">
      <w:pPr>
        <w:pStyle w:val="aDef"/>
      </w:pPr>
      <w:r w:rsidRPr="0040482C">
        <w:rPr>
          <w:rStyle w:val="charBoldItals"/>
        </w:rPr>
        <w:t>miscellaneous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64BB0925" w14:textId="77777777" w:rsidR="00296EE5" w:rsidRPr="0040482C" w:rsidRDefault="00296EE5" w:rsidP="0040482C">
      <w:pPr>
        <w:pStyle w:val="aDef"/>
      </w:pPr>
      <w:r w:rsidRPr="0040482C">
        <w:rPr>
          <w:rStyle w:val="charBoldItals"/>
        </w:rPr>
        <w:t>mobile crane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w:t>
      </w:r>
      <w:r w:rsidR="000D77AE" w:rsidRPr="0040482C">
        <w:t> </w:t>
      </w:r>
      <w:r w:rsidR="00942D10" w:rsidRPr="0040482C">
        <w:t>1</w:t>
      </w:r>
      <w:r w:rsidRPr="0040482C">
        <w:t>, section </w:t>
      </w:r>
      <w:r w:rsidR="00942D10" w:rsidRPr="0040482C">
        <w:t>1.1</w:t>
      </w:r>
      <w:r w:rsidRPr="0040482C">
        <w:t>.</w:t>
      </w:r>
    </w:p>
    <w:p w14:paraId="560F9B09" w14:textId="77777777" w:rsidR="00633E28" w:rsidRPr="00AC3B0A" w:rsidRDefault="00633E28" w:rsidP="00633E28">
      <w:pPr>
        <w:pStyle w:val="aDef"/>
      </w:pPr>
      <w:r w:rsidRPr="00F6136C">
        <w:rPr>
          <w:rStyle w:val="charBoldItals"/>
        </w:rPr>
        <w:t>modified historic vehicle</w:t>
      </w:r>
      <w:r>
        <w:rPr>
          <w:bCs/>
          <w:iCs/>
        </w:rPr>
        <w:t>, for schedule 1 (MAI premium classes)</w:t>
      </w:r>
      <w:r w:rsidRPr="00AC3B0A">
        <w:rPr>
          <w:bCs/>
          <w:iCs/>
        </w:rPr>
        <w:t>—</w:t>
      </w:r>
      <w:r>
        <w:rPr>
          <w:bCs/>
          <w:iCs/>
        </w:rPr>
        <w:t>see schedule 1, section 1.1.</w:t>
      </w:r>
    </w:p>
    <w:p w14:paraId="765AC8A0" w14:textId="77777777" w:rsidR="00296EE5" w:rsidRPr="0040482C" w:rsidRDefault="00296EE5" w:rsidP="0040482C">
      <w:pPr>
        <w:pStyle w:val="aDef"/>
      </w:pPr>
      <w:r w:rsidRPr="0040482C">
        <w:rPr>
          <w:rStyle w:val="charBoldItals"/>
        </w:rPr>
        <w:t>motorbike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13CF8974" w14:textId="77777777" w:rsidR="00296EE5" w:rsidRPr="0040482C" w:rsidRDefault="00296EE5" w:rsidP="0040482C">
      <w:pPr>
        <w:pStyle w:val="aDef"/>
      </w:pPr>
      <w:r w:rsidRPr="0040482C">
        <w:rPr>
          <w:rStyle w:val="charBoldItals"/>
        </w:rPr>
        <w:t>motorcycle</w:t>
      </w:r>
      <w:r w:rsidRPr="0040482C">
        <w:t xml:space="preserve">, for </w:t>
      </w:r>
      <w:r w:rsidR="00046C42" w:rsidRPr="0040482C">
        <w:t xml:space="preserve">schedule </w:t>
      </w:r>
      <w:r w:rsidR="00B23401" w:rsidRPr="0040482C">
        <w:t xml:space="preserve">1 </w:t>
      </w:r>
      <w:r w:rsidRPr="0040482C">
        <w:t xml:space="preserve">(MAI premium classes)—see </w:t>
      </w:r>
      <w:r w:rsidR="000D77AE" w:rsidRPr="0040482C">
        <w:t>s</w:t>
      </w:r>
      <w:r w:rsidR="00942D10" w:rsidRPr="0040482C">
        <w:t>chedule 1</w:t>
      </w:r>
      <w:r w:rsidRPr="0040482C">
        <w:t>, section </w:t>
      </w:r>
      <w:r w:rsidR="00942D10" w:rsidRPr="0040482C">
        <w:t>1.1</w:t>
      </w:r>
      <w:r w:rsidRPr="0040482C">
        <w:t>.</w:t>
      </w:r>
    </w:p>
    <w:p w14:paraId="1BD8ED33" w14:textId="2DCCD8BF" w:rsidR="00296EE5" w:rsidRPr="0040482C" w:rsidRDefault="00296EE5" w:rsidP="0040482C">
      <w:pPr>
        <w:pStyle w:val="aDef"/>
      </w:pPr>
      <w:r w:rsidRPr="0040482C">
        <w:rPr>
          <w:rStyle w:val="charBoldItals"/>
        </w:rPr>
        <w:lastRenderedPageBreak/>
        <w:t>motor trike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w:t>
      </w:r>
      <w:r w:rsidR="005E5B8F">
        <w:t> </w:t>
      </w:r>
      <w:r w:rsidR="00942D10" w:rsidRPr="0040482C">
        <w:t>1</w:t>
      </w:r>
      <w:r w:rsidRPr="0040482C">
        <w:t>, section </w:t>
      </w:r>
      <w:r w:rsidR="00942D10" w:rsidRPr="0040482C">
        <w:t>1.1</w:t>
      </w:r>
      <w:r w:rsidRPr="0040482C">
        <w:t>.</w:t>
      </w:r>
    </w:p>
    <w:p w14:paraId="6C1090FF" w14:textId="77777777" w:rsidR="00296EE5" w:rsidRPr="0040482C" w:rsidRDefault="00296EE5" w:rsidP="0040482C">
      <w:pPr>
        <w:pStyle w:val="aDef"/>
      </w:pPr>
      <w:r w:rsidRPr="0040482C">
        <w:rPr>
          <w:rStyle w:val="charBoldItals"/>
        </w:rPr>
        <w:t>passenger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52976DD0" w14:textId="77777777" w:rsidR="00296EE5" w:rsidRPr="0040482C" w:rsidRDefault="00296EE5" w:rsidP="0040482C">
      <w:pPr>
        <w:pStyle w:val="aDef"/>
      </w:pPr>
      <w:r w:rsidRPr="0040482C">
        <w:rPr>
          <w:rStyle w:val="charBoldItals"/>
        </w:rPr>
        <w:t>personal share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165CA30D" w14:textId="77777777" w:rsidR="00296EE5" w:rsidRPr="0040482C" w:rsidRDefault="00296EE5" w:rsidP="0040482C">
      <w:pPr>
        <w:pStyle w:val="aDef"/>
      </w:pPr>
      <w:r w:rsidRPr="0040482C">
        <w:rPr>
          <w:rStyle w:val="charBoldItals"/>
        </w:rPr>
        <w:t>police vehicle</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w:t>
      </w:r>
      <w:r w:rsidR="000D77AE" w:rsidRPr="0040482C">
        <w:t> </w:t>
      </w:r>
      <w:r w:rsidR="00942D10" w:rsidRPr="0040482C">
        <w:t>1</w:t>
      </w:r>
      <w:r w:rsidRPr="0040482C">
        <w:t>, section </w:t>
      </w:r>
      <w:r w:rsidR="00942D10" w:rsidRPr="0040482C">
        <w:t>1.1</w:t>
      </w:r>
      <w:r w:rsidRPr="0040482C">
        <w:t>.</w:t>
      </w:r>
    </w:p>
    <w:p w14:paraId="7AE7DF11" w14:textId="77777777" w:rsidR="00296EE5" w:rsidRPr="0040482C" w:rsidRDefault="00296EE5" w:rsidP="0040482C">
      <w:pPr>
        <w:pStyle w:val="aDef"/>
      </w:pPr>
      <w:r w:rsidRPr="0040482C">
        <w:rPr>
          <w:rStyle w:val="charBoldItals"/>
        </w:rPr>
        <w:t>prescribed person</w:t>
      </w:r>
      <w:r w:rsidRPr="0040482C">
        <w:t>—see section </w:t>
      </w:r>
      <w:r w:rsidR="00942D10" w:rsidRPr="0040482C">
        <w:t>20</w:t>
      </w:r>
      <w:r w:rsidRPr="0040482C">
        <w:t>.</w:t>
      </w:r>
    </w:p>
    <w:p w14:paraId="2C659BF8" w14:textId="77777777" w:rsidR="00296EE5" w:rsidRPr="0040482C" w:rsidRDefault="00296EE5" w:rsidP="0040482C">
      <w:pPr>
        <w:pStyle w:val="aDef"/>
      </w:pPr>
      <w:r w:rsidRPr="0040482C">
        <w:rPr>
          <w:rStyle w:val="charBoldItals"/>
        </w:rPr>
        <w:t>primary producer’s tractor</w:t>
      </w:r>
      <w:r w:rsidRPr="0040482C">
        <w:t xml:space="preserve">, for </w:t>
      </w:r>
      <w:r w:rsidR="00046C42" w:rsidRPr="0040482C">
        <w:t xml:space="preserve">schedule </w:t>
      </w:r>
      <w:r w:rsidR="00B23401" w:rsidRPr="0040482C">
        <w:t>1</w:t>
      </w:r>
      <w:r w:rsidRPr="0040482C">
        <w:t xml:space="preserve"> (MAI premium classes)—see </w:t>
      </w:r>
      <w:r w:rsidR="000D77AE" w:rsidRPr="0040482C">
        <w:t>s</w:t>
      </w:r>
      <w:r w:rsidR="00942D10" w:rsidRPr="0040482C">
        <w:t>chedule 1</w:t>
      </w:r>
      <w:r w:rsidRPr="0040482C">
        <w:t>, section</w:t>
      </w:r>
      <w:r w:rsidR="00046C42" w:rsidRPr="0040482C">
        <w:t> </w:t>
      </w:r>
      <w:r w:rsidR="00942D10" w:rsidRPr="0040482C">
        <w:t>1.1</w:t>
      </w:r>
      <w:r w:rsidRPr="0040482C">
        <w:t>.</w:t>
      </w:r>
    </w:p>
    <w:p w14:paraId="511D3842" w14:textId="77777777" w:rsidR="00296EE5" w:rsidRPr="0040482C" w:rsidRDefault="00296EE5" w:rsidP="0040482C">
      <w:pPr>
        <w:pStyle w:val="aDef"/>
      </w:pPr>
      <w:r w:rsidRPr="0040482C">
        <w:rPr>
          <w:rStyle w:val="charBoldItals"/>
        </w:rPr>
        <w:t>private hire car</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w:t>
      </w:r>
      <w:r w:rsidR="00046C42" w:rsidRPr="0040482C">
        <w:t> </w:t>
      </w:r>
      <w:r w:rsidR="00942D10" w:rsidRPr="0040482C">
        <w:t>1.1</w:t>
      </w:r>
      <w:r w:rsidRPr="0040482C">
        <w:t>.</w:t>
      </w:r>
    </w:p>
    <w:p w14:paraId="69041A89" w14:textId="77777777" w:rsidR="00296EE5" w:rsidRPr="0040482C" w:rsidRDefault="00296EE5" w:rsidP="0040482C">
      <w:pPr>
        <w:pStyle w:val="aDef"/>
      </w:pPr>
      <w:r w:rsidRPr="0040482C">
        <w:rPr>
          <w:rStyle w:val="charBoldItals"/>
        </w:rPr>
        <w:t>restricted hire car</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w:t>
      </w:r>
      <w:r w:rsidR="00046C42" w:rsidRPr="0040482C">
        <w:t> </w:t>
      </w:r>
      <w:r w:rsidR="00942D10" w:rsidRPr="0040482C">
        <w:t>1.1</w:t>
      </w:r>
      <w:r w:rsidRPr="0040482C">
        <w:t>.</w:t>
      </w:r>
    </w:p>
    <w:p w14:paraId="5D7ADC73" w14:textId="77777777" w:rsidR="00296EE5" w:rsidRPr="0040482C" w:rsidRDefault="00296EE5" w:rsidP="0040482C">
      <w:pPr>
        <w:pStyle w:val="aDef"/>
      </w:pPr>
      <w:r w:rsidRPr="0040482C">
        <w:rPr>
          <w:rStyle w:val="charBoldItals"/>
        </w:rPr>
        <w:t>rideshare vehicle</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w:t>
      </w:r>
      <w:r w:rsidR="00046C42" w:rsidRPr="0040482C">
        <w:t> </w:t>
      </w:r>
      <w:r w:rsidR="00942D10" w:rsidRPr="0040482C">
        <w:t>1.1</w:t>
      </w:r>
      <w:r w:rsidRPr="0040482C">
        <w:t>.</w:t>
      </w:r>
    </w:p>
    <w:p w14:paraId="4D680A15" w14:textId="77777777" w:rsidR="00296EE5" w:rsidRPr="0040482C" w:rsidRDefault="00296EE5" w:rsidP="0040482C">
      <w:pPr>
        <w:pStyle w:val="aDef"/>
      </w:pPr>
      <w:r w:rsidRPr="0040482C">
        <w:rPr>
          <w:rStyle w:val="charBoldItals"/>
        </w:rPr>
        <w:t>tractor</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2B57AD75" w14:textId="77777777" w:rsidR="00296EE5" w:rsidRPr="0040482C" w:rsidRDefault="00296EE5" w:rsidP="0040482C">
      <w:pPr>
        <w:pStyle w:val="aDef"/>
      </w:pPr>
      <w:r w:rsidRPr="0040482C">
        <w:rPr>
          <w:rStyle w:val="charBoldItals"/>
        </w:rPr>
        <w:t>undertaker’s vehicle</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5DA63592" w14:textId="77777777" w:rsidR="00296EE5" w:rsidRPr="0040482C" w:rsidRDefault="00296EE5" w:rsidP="0040482C">
      <w:pPr>
        <w:pStyle w:val="aDef"/>
      </w:pPr>
      <w:r w:rsidRPr="0040482C">
        <w:rPr>
          <w:rStyle w:val="charBoldItals"/>
        </w:rPr>
        <w:t>veteran vehicle</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4C621A99" w14:textId="77777777" w:rsidR="00296EE5" w:rsidRPr="0040482C" w:rsidRDefault="00296EE5" w:rsidP="0040482C">
      <w:pPr>
        <w:pStyle w:val="aDef"/>
      </w:pPr>
      <w:r w:rsidRPr="0040482C">
        <w:rPr>
          <w:rStyle w:val="charBoldItals"/>
        </w:rPr>
        <w:t>vintage vehicle</w:t>
      </w:r>
      <w:r w:rsidRPr="0040482C">
        <w:t xml:space="preserve">, for </w:t>
      </w:r>
      <w:r w:rsidR="00046C42" w:rsidRPr="0040482C">
        <w:t xml:space="preserve">schedule </w:t>
      </w:r>
      <w:r w:rsidR="00312D14" w:rsidRPr="0040482C">
        <w:t>1</w:t>
      </w:r>
      <w:r w:rsidRPr="0040482C">
        <w:t xml:space="preserve"> (MAI premium classes)—see </w:t>
      </w:r>
      <w:r w:rsidR="000D77AE" w:rsidRPr="0040482C">
        <w:t>s</w:t>
      </w:r>
      <w:r w:rsidR="00942D10" w:rsidRPr="0040482C">
        <w:t>chedule 1</w:t>
      </w:r>
      <w:r w:rsidRPr="0040482C">
        <w:t>, section </w:t>
      </w:r>
      <w:r w:rsidR="00942D10" w:rsidRPr="0040482C">
        <w:t>1.1</w:t>
      </w:r>
      <w:r w:rsidRPr="0040482C">
        <w:t>.</w:t>
      </w:r>
    </w:p>
    <w:p w14:paraId="070A5049" w14:textId="77777777" w:rsidR="0008376A" w:rsidRDefault="0008376A">
      <w:pPr>
        <w:pStyle w:val="04Dictionary"/>
        <w:sectPr w:rsidR="0008376A">
          <w:headerReference w:type="even" r:id="rId98"/>
          <w:headerReference w:type="default" r:id="rId99"/>
          <w:footerReference w:type="even" r:id="rId100"/>
          <w:footerReference w:type="default" r:id="rId101"/>
          <w:type w:val="continuous"/>
          <w:pgSz w:w="11907" w:h="16839" w:code="9"/>
          <w:pgMar w:top="3000" w:right="1900" w:bottom="2500" w:left="2300" w:header="2480" w:footer="2100" w:gutter="0"/>
          <w:cols w:space="720"/>
          <w:docGrid w:linePitch="254"/>
        </w:sectPr>
      </w:pPr>
    </w:p>
    <w:p w14:paraId="56F9019D" w14:textId="77777777" w:rsidR="00E531CF" w:rsidRDefault="00E531CF">
      <w:pPr>
        <w:pStyle w:val="Endnote1"/>
      </w:pPr>
      <w:bookmarkStart w:id="53" w:name="_Toc153373722"/>
      <w:r>
        <w:lastRenderedPageBreak/>
        <w:t>Endnotes</w:t>
      </w:r>
      <w:bookmarkEnd w:id="53"/>
    </w:p>
    <w:p w14:paraId="29BFD46E" w14:textId="77777777" w:rsidR="00E531CF" w:rsidRPr="009F0332" w:rsidRDefault="00E531CF">
      <w:pPr>
        <w:pStyle w:val="Endnote20"/>
      </w:pPr>
      <w:bookmarkStart w:id="54" w:name="_Toc153373723"/>
      <w:r w:rsidRPr="009F0332">
        <w:rPr>
          <w:rStyle w:val="charTableNo"/>
        </w:rPr>
        <w:t>1</w:t>
      </w:r>
      <w:r>
        <w:tab/>
      </w:r>
      <w:r w:rsidRPr="009F0332">
        <w:rPr>
          <w:rStyle w:val="charTableText"/>
        </w:rPr>
        <w:t>About the endnotes</w:t>
      </w:r>
      <w:bookmarkEnd w:id="54"/>
    </w:p>
    <w:p w14:paraId="3F45451F" w14:textId="77777777" w:rsidR="00E531CF" w:rsidRDefault="00E531CF">
      <w:pPr>
        <w:pStyle w:val="EndNoteTextPub"/>
      </w:pPr>
      <w:r>
        <w:t>Amending and modifying laws are annotated in the legislation history and the amendment history.  Current modifications are not included in the republished law but are set out in the endnotes.</w:t>
      </w:r>
    </w:p>
    <w:p w14:paraId="5F7982D6" w14:textId="7B00EFD5" w:rsidR="00E531CF" w:rsidRDefault="00E531CF">
      <w:pPr>
        <w:pStyle w:val="EndNoteTextPub"/>
      </w:pPr>
      <w:r>
        <w:t xml:space="preserve">Not all editorial amendments made under the </w:t>
      </w:r>
      <w:hyperlink r:id="rId102" w:tooltip="A2001-14" w:history="1">
        <w:r w:rsidR="004D4E61" w:rsidRPr="004D4E61">
          <w:rPr>
            <w:rStyle w:val="charCitHyperlinkItal"/>
          </w:rPr>
          <w:t>Legislation Act 2001</w:t>
        </w:r>
      </w:hyperlink>
      <w:r>
        <w:t>, part 11.3 are annotated in the amendment history.  Full details of any amendments can be obtained from the Parliamentary Counsel’s Office.</w:t>
      </w:r>
    </w:p>
    <w:p w14:paraId="539D3E02" w14:textId="77777777" w:rsidR="00E531CF" w:rsidRDefault="00E531CF" w:rsidP="00E531C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260ACA4" w14:textId="77777777" w:rsidR="00E531CF" w:rsidRDefault="00E531CF">
      <w:pPr>
        <w:pStyle w:val="EndNoteTextPub"/>
      </w:pPr>
      <w:r>
        <w:t xml:space="preserve">If all the provisions of the law have been renumbered, a table of renumbered provisions gives details of previous and current numbering.  </w:t>
      </w:r>
    </w:p>
    <w:p w14:paraId="61CBE837" w14:textId="77777777" w:rsidR="00E531CF" w:rsidRDefault="00E531CF">
      <w:pPr>
        <w:pStyle w:val="EndNoteTextPub"/>
      </w:pPr>
      <w:r>
        <w:t>The endnotes also include a table of earlier republications.</w:t>
      </w:r>
    </w:p>
    <w:p w14:paraId="6698819C" w14:textId="77777777" w:rsidR="00E531CF" w:rsidRPr="009F0332" w:rsidRDefault="00E531CF">
      <w:pPr>
        <w:pStyle w:val="Endnote20"/>
      </w:pPr>
      <w:bookmarkStart w:id="55" w:name="_Toc153373724"/>
      <w:r w:rsidRPr="009F0332">
        <w:rPr>
          <w:rStyle w:val="charTableNo"/>
        </w:rPr>
        <w:t>2</w:t>
      </w:r>
      <w:r>
        <w:tab/>
      </w:r>
      <w:r w:rsidRPr="009F0332">
        <w:rPr>
          <w:rStyle w:val="charTableText"/>
        </w:rPr>
        <w:t>Abbreviation key</w:t>
      </w:r>
      <w:bookmarkEnd w:id="55"/>
    </w:p>
    <w:p w14:paraId="03B132A4" w14:textId="77777777" w:rsidR="00E531CF" w:rsidRDefault="00E531CF">
      <w:pPr>
        <w:rPr>
          <w:sz w:val="4"/>
        </w:rPr>
      </w:pPr>
    </w:p>
    <w:tbl>
      <w:tblPr>
        <w:tblW w:w="7372" w:type="dxa"/>
        <w:tblInd w:w="1100" w:type="dxa"/>
        <w:tblLayout w:type="fixed"/>
        <w:tblLook w:val="0000" w:firstRow="0" w:lastRow="0" w:firstColumn="0" w:lastColumn="0" w:noHBand="0" w:noVBand="0"/>
      </w:tblPr>
      <w:tblGrid>
        <w:gridCol w:w="3720"/>
        <w:gridCol w:w="3652"/>
      </w:tblGrid>
      <w:tr w:rsidR="00E531CF" w14:paraId="71E3728F" w14:textId="77777777" w:rsidTr="00E531CF">
        <w:tc>
          <w:tcPr>
            <w:tcW w:w="3720" w:type="dxa"/>
          </w:tcPr>
          <w:p w14:paraId="3FF05F72" w14:textId="77777777" w:rsidR="00E531CF" w:rsidRDefault="00E531CF">
            <w:pPr>
              <w:pStyle w:val="EndnotesAbbrev"/>
            </w:pPr>
            <w:r>
              <w:t>A = Act</w:t>
            </w:r>
          </w:p>
        </w:tc>
        <w:tc>
          <w:tcPr>
            <w:tcW w:w="3652" w:type="dxa"/>
          </w:tcPr>
          <w:p w14:paraId="038A7627" w14:textId="77777777" w:rsidR="00E531CF" w:rsidRDefault="00E531CF" w:rsidP="00E531CF">
            <w:pPr>
              <w:pStyle w:val="EndnotesAbbrev"/>
            </w:pPr>
            <w:r>
              <w:t>NI = Notifiable instrument</w:t>
            </w:r>
          </w:p>
        </w:tc>
      </w:tr>
      <w:tr w:rsidR="00E531CF" w14:paraId="11A25BD3" w14:textId="77777777" w:rsidTr="00E531CF">
        <w:tc>
          <w:tcPr>
            <w:tcW w:w="3720" w:type="dxa"/>
          </w:tcPr>
          <w:p w14:paraId="3DAEC139" w14:textId="77777777" w:rsidR="00E531CF" w:rsidRDefault="00E531CF" w:rsidP="00E531CF">
            <w:pPr>
              <w:pStyle w:val="EndnotesAbbrev"/>
            </w:pPr>
            <w:r>
              <w:t>AF = Approved form</w:t>
            </w:r>
          </w:p>
        </w:tc>
        <w:tc>
          <w:tcPr>
            <w:tcW w:w="3652" w:type="dxa"/>
          </w:tcPr>
          <w:p w14:paraId="7437897C" w14:textId="77777777" w:rsidR="00E531CF" w:rsidRDefault="00E531CF" w:rsidP="00E531CF">
            <w:pPr>
              <w:pStyle w:val="EndnotesAbbrev"/>
            </w:pPr>
            <w:r>
              <w:t>o = order</w:t>
            </w:r>
          </w:p>
        </w:tc>
      </w:tr>
      <w:tr w:rsidR="00E531CF" w14:paraId="2CDD931C" w14:textId="77777777" w:rsidTr="00E531CF">
        <w:tc>
          <w:tcPr>
            <w:tcW w:w="3720" w:type="dxa"/>
          </w:tcPr>
          <w:p w14:paraId="1CA97835" w14:textId="77777777" w:rsidR="00E531CF" w:rsidRDefault="00E531CF">
            <w:pPr>
              <w:pStyle w:val="EndnotesAbbrev"/>
            </w:pPr>
            <w:r>
              <w:t>am = amended</w:t>
            </w:r>
          </w:p>
        </w:tc>
        <w:tc>
          <w:tcPr>
            <w:tcW w:w="3652" w:type="dxa"/>
          </w:tcPr>
          <w:p w14:paraId="2C7558D4" w14:textId="77777777" w:rsidR="00E531CF" w:rsidRDefault="00E531CF" w:rsidP="00E531CF">
            <w:pPr>
              <w:pStyle w:val="EndnotesAbbrev"/>
            </w:pPr>
            <w:r>
              <w:t>om = omitted/repealed</w:t>
            </w:r>
          </w:p>
        </w:tc>
      </w:tr>
      <w:tr w:rsidR="00E531CF" w14:paraId="49F59BBD" w14:textId="77777777" w:rsidTr="00E531CF">
        <w:tc>
          <w:tcPr>
            <w:tcW w:w="3720" w:type="dxa"/>
          </w:tcPr>
          <w:p w14:paraId="4B6167B2" w14:textId="77777777" w:rsidR="00E531CF" w:rsidRDefault="00E531CF">
            <w:pPr>
              <w:pStyle w:val="EndnotesAbbrev"/>
            </w:pPr>
            <w:r>
              <w:t>amdt = amendment</w:t>
            </w:r>
          </w:p>
        </w:tc>
        <w:tc>
          <w:tcPr>
            <w:tcW w:w="3652" w:type="dxa"/>
          </w:tcPr>
          <w:p w14:paraId="72D3FF4A" w14:textId="77777777" w:rsidR="00E531CF" w:rsidRDefault="00E531CF" w:rsidP="00E531CF">
            <w:pPr>
              <w:pStyle w:val="EndnotesAbbrev"/>
            </w:pPr>
            <w:r>
              <w:t>ord = ordinance</w:t>
            </w:r>
          </w:p>
        </w:tc>
      </w:tr>
      <w:tr w:rsidR="00E531CF" w14:paraId="4E4EFFD7" w14:textId="77777777" w:rsidTr="00E531CF">
        <w:tc>
          <w:tcPr>
            <w:tcW w:w="3720" w:type="dxa"/>
          </w:tcPr>
          <w:p w14:paraId="6E648430" w14:textId="77777777" w:rsidR="00E531CF" w:rsidRDefault="00E531CF">
            <w:pPr>
              <w:pStyle w:val="EndnotesAbbrev"/>
            </w:pPr>
            <w:r>
              <w:t>AR = Assembly resolution</w:t>
            </w:r>
          </w:p>
        </w:tc>
        <w:tc>
          <w:tcPr>
            <w:tcW w:w="3652" w:type="dxa"/>
          </w:tcPr>
          <w:p w14:paraId="2130202C" w14:textId="77777777" w:rsidR="00E531CF" w:rsidRDefault="00E531CF" w:rsidP="00E531CF">
            <w:pPr>
              <w:pStyle w:val="EndnotesAbbrev"/>
            </w:pPr>
            <w:r>
              <w:t>orig = original</w:t>
            </w:r>
          </w:p>
        </w:tc>
      </w:tr>
      <w:tr w:rsidR="00E531CF" w14:paraId="21033C0F" w14:textId="77777777" w:rsidTr="00E531CF">
        <w:tc>
          <w:tcPr>
            <w:tcW w:w="3720" w:type="dxa"/>
          </w:tcPr>
          <w:p w14:paraId="47B9BC5D" w14:textId="77777777" w:rsidR="00E531CF" w:rsidRDefault="00E531CF">
            <w:pPr>
              <w:pStyle w:val="EndnotesAbbrev"/>
            </w:pPr>
            <w:r>
              <w:t>ch = chapter</w:t>
            </w:r>
          </w:p>
        </w:tc>
        <w:tc>
          <w:tcPr>
            <w:tcW w:w="3652" w:type="dxa"/>
          </w:tcPr>
          <w:p w14:paraId="3B7C0CC9" w14:textId="77777777" w:rsidR="00E531CF" w:rsidRDefault="00E531CF" w:rsidP="00E531CF">
            <w:pPr>
              <w:pStyle w:val="EndnotesAbbrev"/>
            </w:pPr>
            <w:r>
              <w:t>par = paragraph/subparagraph</w:t>
            </w:r>
          </w:p>
        </w:tc>
      </w:tr>
      <w:tr w:rsidR="00E531CF" w14:paraId="133210C9" w14:textId="77777777" w:rsidTr="00E531CF">
        <w:tc>
          <w:tcPr>
            <w:tcW w:w="3720" w:type="dxa"/>
          </w:tcPr>
          <w:p w14:paraId="1423D867" w14:textId="77777777" w:rsidR="00E531CF" w:rsidRDefault="00E531CF">
            <w:pPr>
              <w:pStyle w:val="EndnotesAbbrev"/>
            </w:pPr>
            <w:r>
              <w:t>CN = Commencement notice</w:t>
            </w:r>
          </w:p>
        </w:tc>
        <w:tc>
          <w:tcPr>
            <w:tcW w:w="3652" w:type="dxa"/>
          </w:tcPr>
          <w:p w14:paraId="3E31AFCD" w14:textId="77777777" w:rsidR="00E531CF" w:rsidRDefault="00E531CF" w:rsidP="00E531CF">
            <w:pPr>
              <w:pStyle w:val="EndnotesAbbrev"/>
            </w:pPr>
            <w:r>
              <w:t>pres = present</w:t>
            </w:r>
          </w:p>
        </w:tc>
      </w:tr>
      <w:tr w:rsidR="00E531CF" w14:paraId="5C909E9B" w14:textId="77777777" w:rsidTr="00E531CF">
        <w:tc>
          <w:tcPr>
            <w:tcW w:w="3720" w:type="dxa"/>
          </w:tcPr>
          <w:p w14:paraId="02BAA32C" w14:textId="77777777" w:rsidR="00E531CF" w:rsidRDefault="00E531CF">
            <w:pPr>
              <w:pStyle w:val="EndnotesAbbrev"/>
            </w:pPr>
            <w:r>
              <w:t>def = definition</w:t>
            </w:r>
          </w:p>
        </w:tc>
        <w:tc>
          <w:tcPr>
            <w:tcW w:w="3652" w:type="dxa"/>
          </w:tcPr>
          <w:p w14:paraId="4D1292A5" w14:textId="77777777" w:rsidR="00E531CF" w:rsidRDefault="00E531CF" w:rsidP="00E531CF">
            <w:pPr>
              <w:pStyle w:val="EndnotesAbbrev"/>
            </w:pPr>
            <w:r>
              <w:t>prev = previous</w:t>
            </w:r>
          </w:p>
        </w:tc>
      </w:tr>
      <w:tr w:rsidR="00E531CF" w14:paraId="6ED4FF2B" w14:textId="77777777" w:rsidTr="00E531CF">
        <w:tc>
          <w:tcPr>
            <w:tcW w:w="3720" w:type="dxa"/>
          </w:tcPr>
          <w:p w14:paraId="332188E9" w14:textId="77777777" w:rsidR="00E531CF" w:rsidRDefault="00E531CF">
            <w:pPr>
              <w:pStyle w:val="EndnotesAbbrev"/>
            </w:pPr>
            <w:r>
              <w:t>DI = Disallowable instrument</w:t>
            </w:r>
          </w:p>
        </w:tc>
        <w:tc>
          <w:tcPr>
            <w:tcW w:w="3652" w:type="dxa"/>
          </w:tcPr>
          <w:p w14:paraId="288E1C00" w14:textId="77777777" w:rsidR="00E531CF" w:rsidRDefault="00E531CF" w:rsidP="00E531CF">
            <w:pPr>
              <w:pStyle w:val="EndnotesAbbrev"/>
            </w:pPr>
            <w:r>
              <w:t>(prev...) = previously</w:t>
            </w:r>
          </w:p>
        </w:tc>
      </w:tr>
      <w:tr w:rsidR="00E531CF" w14:paraId="2B964EB3" w14:textId="77777777" w:rsidTr="00E531CF">
        <w:tc>
          <w:tcPr>
            <w:tcW w:w="3720" w:type="dxa"/>
          </w:tcPr>
          <w:p w14:paraId="7C4E0649" w14:textId="77777777" w:rsidR="00E531CF" w:rsidRDefault="00E531CF">
            <w:pPr>
              <w:pStyle w:val="EndnotesAbbrev"/>
            </w:pPr>
            <w:r>
              <w:t>dict = dictionary</w:t>
            </w:r>
          </w:p>
        </w:tc>
        <w:tc>
          <w:tcPr>
            <w:tcW w:w="3652" w:type="dxa"/>
          </w:tcPr>
          <w:p w14:paraId="58540D7D" w14:textId="77777777" w:rsidR="00E531CF" w:rsidRDefault="00E531CF" w:rsidP="00E531CF">
            <w:pPr>
              <w:pStyle w:val="EndnotesAbbrev"/>
            </w:pPr>
            <w:r>
              <w:t>pt = part</w:t>
            </w:r>
          </w:p>
        </w:tc>
      </w:tr>
      <w:tr w:rsidR="00E531CF" w14:paraId="2FC8A411" w14:textId="77777777" w:rsidTr="00E531CF">
        <w:tc>
          <w:tcPr>
            <w:tcW w:w="3720" w:type="dxa"/>
          </w:tcPr>
          <w:p w14:paraId="4055FE25" w14:textId="77777777" w:rsidR="00E531CF" w:rsidRDefault="00E531CF">
            <w:pPr>
              <w:pStyle w:val="EndnotesAbbrev"/>
            </w:pPr>
            <w:r>
              <w:t xml:space="preserve">disallowed = disallowed by the Legislative </w:t>
            </w:r>
          </w:p>
        </w:tc>
        <w:tc>
          <w:tcPr>
            <w:tcW w:w="3652" w:type="dxa"/>
          </w:tcPr>
          <w:p w14:paraId="3E03B878" w14:textId="77777777" w:rsidR="00E531CF" w:rsidRDefault="00E531CF" w:rsidP="00E531CF">
            <w:pPr>
              <w:pStyle w:val="EndnotesAbbrev"/>
            </w:pPr>
            <w:r>
              <w:t>r = rule/subrule</w:t>
            </w:r>
          </w:p>
        </w:tc>
      </w:tr>
      <w:tr w:rsidR="00E531CF" w14:paraId="16D12D6D" w14:textId="77777777" w:rsidTr="00E531CF">
        <w:tc>
          <w:tcPr>
            <w:tcW w:w="3720" w:type="dxa"/>
          </w:tcPr>
          <w:p w14:paraId="3F4AFD2A" w14:textId="77777777" w:rsidR="00E531CF" w:rsidRDefault="00E531CF">
            <w:pPr>
              <w:pStyle w:val="EndnotesAbbrev"/>
              <w:ind w:left="972"/>
            </w:pPr>
            <w:r>
              <w:t>Assembly</w:t>
            </w:r>
          </w:p>
        </w:tc>
        <w:tc>
          <w:tcPr>
            <w:tcW w:w="3652" w:type="dxa"/>
          </w:tcPr>
          <w:p w14:paraId="3ADEF7B2" w14:textId="77777777" w:rsidR="00E531CF" w:rsidRDefault="00E531CF" w:rsidP="00E531CF">
            <w:pPr>
              <w:pStyle w:val="EndnotesAbbrev"/>
            </w:pPr>
            <w:r>
              <w:t>reloc = relocated</w:t>
            </w:r>
          </w:p>
        </w:tc>
      </w:tr>
      <w:tr w:rsidR="00E531CF" w14:paraId="58DF54DA" w14:textId="77777777" w:rsidTr="00E531CF">
        <w:tc>
          <w:tcPr>
            <w:tcW w:w="3720" w:type="dxa"/>
          </w:tcPr>
          <w:p w14:paraId="71C86631" w14:textId="77777777" w:rsidR="00E531CF" w:rsidRDefault="00E531CF">
            <w:pPr>
              <w:pStyle w:val="EndnotesAbbrev"/>
            </w:pPr>
            <w:r>
              <w:t>div = division</w:t>
            </w:r>
          </w:p>
        </w:tc>
        <w:tc>
          <w:tcPr>
            <w:tcW w:w="3652" w:type="dxa"/>
          </w:tcPr>
          <w:p w14:paraId="30055D76" w14:textId="77777777" w:rsidR="00E531CF" w:rsidRDefault="00E531CF" w:rsidP="00E531CF">
            <w:pPr>
              <w:pStyle w:val="EndnotesAbbrev"/>
            </w:pPr>
            <w:r>
              <w:t>renum = renumbered</w:t>
            </w:r>
          </w:p>
        </w:tc>
      </w:tr>
      <w:tr w:rsidR="00E531CF" w14:paraId="691364A6" w14:textId="77777777" w:rsidTr="00E531CF">
        <w:tc>
          <w:tcPr>
            <w:tcW w:w="3720" w:type="dxa"/>
          </w:tcPr>
          <w:p w14:paraId="0AC718FF" w14:textId="77777777" w:rsidR="00E531CF" w:rsidRDefault="00E531CF">
            <w:pPr>
              <w:pStyle w:val="EndnotesAbbrev"/>
            </w:pPr>
            <w:r>
              <w:t>exp = expires/expired</w:t>
            </w:r>
          </w:p>
        </w:tc>
        <w:tc>
          <w:tcPr>
            <w:tcW w:w="3652" w:type="dxa"/>
          </w:tcPr>
          <w:p w14:paraId="1316B466" w14:textId="77777777" w:rsidR="00E531CF" w:rsidRDefault="00E531CF" w:rsidP="00E531CF">
            <w:pPr>
              <w:pStyle w:val="EndnotesAbbrev"/>
            </w:pPr>
            <w:r>
              <w:t>R[X] = Republication No</w:t>
            </w:r>
          </w:p>
        </w:tc>
      </w:tr>
      <w:tr w:rsidR="00E531CF" w14:paraId="2C759969" w14:textId="77777777" w:rsidTr="00E531CF">
        <w:tc>
          <w:tcPr>
            <w:tcW w:w="3720" w:type="dxa"/>
          </w:tcPr>
          <w:p w14:paraId="28092BF8" w14:textId="77777777" w:rsidR="00E531CF" w:rsidRDefault="00E531CF">
            <w:pPr>
              <w:pStyle w:val="EndnotesAbbrev"/>
            </w:pPr>
            <w:r>
              <w:t>Gaz = gazette</w:t>
            </w:r>
          </w:p>
        </w:tc>
        <w:tc>
          <w:tcPr>
            <w:tcW w:w="3652" w:type="dxa"/>
          </w:tcPr>
          <w:p w14:paraId="02E87FA5" w14:textId="77777777" w:rsidR="00E531CF" w:rsidRDefault="00E531CF" w:rsidP="00E531CF">
            <w:pPr>
              <w:pStyle w:val="EndnotesAbbrev"/>
            </w:pPr>
            <w:r>
              <w:t>RI = reissue</w:t>
            </w:r>
          </w:p>
        </w:tc>
      </w:tr>
      <w:tr w:rsidR="00E531CF" w14:paraId="28B5B652" w14:textId="77777777" w:rsidTr="00E531CF">
        <w:tc>
          <w:tcPr>
            <w:tcW w:w="3720" w:type="dxa"/>
          </w:tcPr>
          <w:p w14:paraId="368B1B07" w14:textId="77777777" w:rsidR="00E531CF" w:rsidRDefault="00E531CF">
            <w:pPr>
              <w:pStyle w:val="EndnotesAbbrev"/>
            </w:pPr>
            <w:r>
              <w:t>hdg = heading</w:t>
            </w:r>
          </w:p>
        </w:tc>
        <w:tc>
          <w:tcPr>
            <w:tcW w:w="3652" w:type="dxa"/>
          </w:tcPr>
          <w:p w14:paraId="1198A9C5" w14:textId="77777777" w:rsidR="00E531CF" w:rsidRDefault="00E531CF" w:rsidP="00E531CF">
            <w:pPr>
              <w:pStyle w:val="EndnotesAbbrev"/>
            </w:pPr>
            <w:r>
              <w:t>s = section/subsection</w:t>
            </w:r>
          </w:p>
        </w:tc>
      </w:tr>
      <w:tr w:rsidR="00E531CF" w14:paraId="78D86B82" w14:textId="77777777" w:rsidTr="00E531CF">
        <w:tc>
          <w:tcPr>
            <w:tcW w:w="3720" w:type="dxa"/>
          </w:tcPr>
          <w:p w14:paraId="5E2033C4" w14:textId="77777777" w:rsidR="00E531CF" w:rsidRDefault="00E531CF">
            <w:pPr>
              <w:pStyle w:val="EndnotesAbbrev"/>
            </w:pPr>
            <w:r>
              <w:t>IA = Interpretation Act 1967</w:t>
            </w:r>
          </w:p>
        </w:tc>
        <w:tc>
          <w:tcPr>
            <w:tcW w:w="3652" w:type="dxa"/>
          </w:tcPr>
          <w:p w14:paraId="146EC717" w14:textId="77777777" w:rsidR="00E531CF" w:rsidRDefault="00E531CF" w:rsidP="00E531CF">
            <w:pPr>
              <w:pStyle w:val="EndnotesAbbrev"/>
            </w:pPr>
            <w:r>
              <w:t>sch = schedule</w:t>
            </w:r>
          </w:p>
        </w:tc>
      </w:tr>
      <w:tr w:rsidR="00E531CF" w14:paraId="5BF5793C" w14:textId="77777777" w:rsidTr="00E531CF">
        <w:tc>
          <w:tcPr>
            <w:tcW w:w="3720" w:type="dxa"/>
          </w:tcPr>
          <w:p w14:paraId="21A1563C" w14:textId="77777777" w:rsidR="00E531CF" w:rsidRDefault="00E531CF">
            <w:pPr>
              <w:pStyle w:val="EndnotesAbbrev"/>
            </w:pPr>
            <w:r>
              <w:t>ins = inserted/added</w:t>
            </w:r>
          </w:p>
        </w:tc>
        <w:tc>
          <w:tcPr>
            <w:tcW w:w="3652" w:type="dxa"/>
          </w:tcPr>
          <w:p w14:paraId="457606F3" w14:textId="77777777" w:rsidR="00E531CF" w:rsidRDefault="00E531CF" w:rsidP="00E531CF">
            <w:pPr>
              <w:pStyle w:val="EndnotesAbbrev"/>
            </w:pPr>
            <w:r>
              <w:t>sdiv = subdivision</w:t>
            </w:r>
          </w:p>
        </w:tc>
      </w:tr>
      <w:tr w:rsidR="00E531CF" w14:paraId="132BA974" w14:textId="77777777" w:rsidTr="00E531CF">
        <w:tc>
          <w:tcPr>
            <w:tcW w:w="3720" w:type="dxa"/>
          </w:tcPr>
          <w:p w14:paraId="7338CE48" w14:textId="77777777" w:rsidR="00E531CF" w:rsidRDefault="00E531CF">
            <w:pPr>
              <w:pStyle w:val="EndnotesAbbrev"/>
            </w:pPr>
            <w:r>
              <w:t>LA = Legislation Act 2001</w:t>
            </w:r>
          </w:p>
        </w:tc>
        <w:tc>
          <w:tcPr>
            <w:tcW w:w="3652" w:type="dxa"/>
          </w:tcPr>
          <w:p w14:paraId="654E980A" w14:textId="77777777" w:rsidR="00E531CF" w:rsidRDefault="00E531CF" w:rsidP="00E531CF">
            <w:pPr>
              <w:pStyle w:val="EndnotesAbbrev"/>
            </w:pPr>
            <w:r>
              <w:t>SL = Subordinate law</w:t>
            </w:r>
          </w:p>
        </w:tc>
      </w:tr>
      <w:tr w:rsidR="00E531CF" w14:paraId="71CCDBD9" w14:textId="77777777" w:rsidTr="00E531CF">
        <w:tc>
          <w:tcPr>
            <w:tcW w:w="3720" w:type="dxa"/>
          </w:tcPr>
          <w:p w14:paraId="0D10773F" w14:textId="77777777" w:rsidR="00E531CF" w:rsidRDefault="00E531CF">
            <w:pPr>
              <w:pStyle w:val="EndnotesAbbrev"/>
            </w:pPr>
            <w:r>
              <w:t>LR = legislation register</w:t>
            </w:r>
          </w:p>
        </w:tc>
        <w:tc>
          <w:tcPr>
            <w:tcW w:w="3652" w:type="dxa"/>
          </w:tcPr>
          <w:p w14:paraId="4BBB76E4" w14:textId="77777777" w:rsidR="00E531CF" w:rsidRDefault="00E531CF" w:rsidP="00E531CF">
            <w:pPr>
              <w:pStyle w:val="EndnotesAbbrev"/>
            </w:pPr>
            <w:r>
              <w:t>sub = substituted</w:t>
            </w:r>
          </w:p>
        </w:tc>
      </w:tr>
      <w:tr w:rsidR="00E531CF" w14:paraId="4B169E5C" w14:textId="77777777" w:rsidTr="00E531CF">
        <w:tc>
          <w:tcPr>
            <w:tcW w:w="3720" w:type="dxa"/>
          </w:tcPr>
          <w:p w14:paraId="5B1AF78F" w14:textId="77777777" w:rsidR="00E531CF" w:rsidRDefault="00E531CF">
            <w:pPr>
              <w:pStyle w:val="EndnotesAbbrev"/>
            </w:pPr>
            <w:r>
              <w:t>LRA = Legislation (Republication) Act 1996</w:t>
            </w:r>
          </w:p>
        </w:tc>
        <w:tc>
          <w:tcPr>
            <w:tcW w:w="3652" w:type="dxa"/>
          </w:tcPr>
          <w:p w14:paraId="34982029" w14:textId="77777777" w:rsidR="00E531CF" w:rsidRDefault="00E531CF" w:rsidP="00E531CF">
            <w:pPr>
              <w:pStyle w:val="EndnotesAbbrev"/>
            </w:pPr>
            <w:r>
              <w:rPr>
                <w:u w:val="single"/>
              </w:rPr>
              <w:t>underlining</w:t>
            </w:r>
            <w:r>
              <w:t xml:space="preserve"> = whole or part not commenced</w:t>
            </w:r>
          </w:p>
        </w:tc>
      </w:tr>
      <w:tr w:rsidR="00E531CF" w14:paraId="0E17A443" w14:textId="77777777" w:rsidTr="00E531CF">
        <w:tc>
          <w:tcPr>
            <w:tcW w:w="3720" w:type="dxa"/>
          </w:tcPr>
          <w:p w14:paraId="3DC6049E" w14:textId="77777777" w:rsidR="00E531CF" w:rsidRDefault="00E531CF">
            <w:pPr>
              <w:pStyle w:val="EndnotesAbbrev"/>
            </w:pPr>
            <w:r>
              <w:t>mod = modified/modification</w:t>
            </w:r>
          </w:p>
        </w:tc>
        <w:tc>
          <w:tcPr>
            <w:tcW w:w="3652" w:type="dxa"/>
          </w:tcPr>
          <w:p w14:paraId="70ABE907" w14:textId="77777777" w:rsidR="00E531CF" w:rsidRDefault="00E531CF" w:rsidP="00E531CF">
            <w:pPr>
              <w:pStyle w:val="EndnotesAbbrev"/>
              <w:ind w:left="1073"/>
            </w:pPr>
            <w:r>
              <w:t>or to be expired</w:t>
            </w:r>
          </w:p>
        </w:tc>
      </w:tr>
    </w:tbl>
    <w:p w14:paraId="3C05556A" w14:textId="77777777" w:rsidR="00E531CF" w:rsidRPr="00BB6F39" w:rsidRDefault="00E531CF" w:rsidP="00E531CF"/>
    <w:p w14:paraId="33AA8A64" w14:textId="77777777" w:rsidR="00E531CF" w:rsidRPr="0047411E" w:rsidRDefault="00E531CF" w:rsidP="00E531CF">
      <w:pPr>
        <w:pStyle w:val="PageBreak"/>
      </w:pPr>
      <w:r w:rsidRPr="0047411E">
        <w:br w:type="page"/>
      </w:r>
    </w:p>
    <w:p w14:paraId="308BF1B9" w14:textId="77777777" w:rsidR="00E531CF" w:rsidRPr="009F0332" w:rsidRDefault="00E531CF">
      <w:pPr>
        <w:pStyle w:val="Endnote20"/>
      </w:pPr>
      <w:bookmarkStart w:id="56" w:name="_Toc153373725"/>
      <w:r w:rsidRPr="009F0332">
        <w:rPr>
          <w:rStyle w:val="charTableNo"/>
        </w:rPr>
        <w:lastRenderedPageBreak/>
        <w:t>3</w:t>
      </w:r>
      <w:r>
        <w:tab/>
      </w:r>
      <w:r w:rsidRPr="009F0332">
        <w:rPr>
          <w:rStyle w:val="charTableText"/>
        </w:rPr>
        <w:t>Legislation history</w:t>
      </w:r>
      <w:bookmarkEnd w:id="56"/>
    </w:p>
    <w:p w14:paraId="03C5266B" w14:textId="17787D67" w:rsidR="00E531CF" w:rsidRDefault="00116D3C">
      <w:pPr>
        <w:pStyle w:val="NewAct"/>
      </w:pPr>
      <w:r w:rsidRPr="00116D3C">
        <w:t>Motor Accident Injuries (Premiums and Administration) Regulation</w:t>
      </w:r>
      <w:r w:rsidR="004D4E61">
        <w:t> </w:t>
      </w:r>
      <w:r w:rsidRPr="00116D3C">
        <w:t>2019</w:t>
      </w:r>
      <w:r>
        <w:t xml:space="preserve"> SL2019-28</w:t>
      </w:r>
    </w:p>
    <w:p w14:paraId="618778AF" w14:textId="1946EDF2" w:rsidR="00116D3C" w:rsidRDefault="00116D3C" w:rsidP="00116D3C">
      <w:pPr>
        <w:pStyle w:val="Actdetails"/>
      </w:pPr>
      <w:r>
        <w:t>notified LR 17 October 2019</w:t>
      </w:r>
    </w:p>
    <w:p w14:paraId="51232E6F" w14:textId="06DE2B29" w:rsidR="00116D3C" w:rsidRDefault="00116D3C" w:rsidP="00116D3C">
      <w:pPr>
        <w:pStyle w:val="Actdetails"/>
      </w:pPr>
      <w:r>
        <w:t>s 1, s 2 commenced 17 October 2019 (LA s 79 (1))</w:t>
      </w:r>
    </w:p>
    <w:p w14:paraId="142A8203" w14:textId="7F6D1AEA" w:rsidR="00116D3C" w:rsidRPr="00116D3C" w:rsidRDefault="00116D3C" w:rsidP="00116D3C">
      <w:pPr>
        <w:pStyle w:val="Actdetails"/>
      </w:pPr>
      <w:r>
        <w:t>remainder commenced 1 February 2020 (s 2</w:t>
      </w:r>
      <w:r w:rsidR="00CD4BD5" w:rsidRPr="00E246DD">
        <w:rPr>
          <w:spacing w:val="-2"/>
        </w:rPr>
        <w:t xml:space="preserve"> and see </w:t>
      </w:r>
      <w:hyperlink r:id="rId103" w:tooltip="A2019-12" w:history="1">
        <w:r w:rsidR="00CD4BD5" w:rsidRPr="00CD4BD5">
          <w:rPr>
            <w:rStyle w:val="charCitHyperlinkAbbrev"/>
          </w:rPr>
          <w:t>Motor Accident Injuries Act 2019</w:t>
        </w:r>
      </w:hyperlink>
      <w:r w:rsidR="00CD4BD5" w:rsidRPr="00E246DD">
        <w:rPr>
          <w:spacing w:val="-2"/>
        </w:rPr>
        <w:t xml:space="preserve"> A2019-12, s 2 (1) and </w:t>
      </w:r>
      <w:hyperlink r:id="rId104" w:tooltip="CN2019-13" w:history="1">
        <w:r w:rsidR="00CD4BD5" w:rsidRPr="00890E8A">
          <w:rPr>
            <w:rStyle w:val="charCitHyperlinkAbbrev"/>
          </w:rPr>
          <w:t>CN2019-13</w:t>
        </w:r>
      </w:hyperlink>
      <w:r w:rsidR="00CD4BD5" w:rsidRPr="00CD4BD5">
        <w:t>)</w:t>
      </w:r>
    </w:p>
    <w:p w14:paraId="59C1D6D9" w14:textId="5A024E04" w:rsidR="00E911BA" w:rsidRDefault="00E911BA">
      <w:pPr>
        <w:pStyle w:val="Asamby"/>
      </w:pPr>
      <w:r>
        <w:t>as amended by</w:t>
      </w:r>
    </w:p>
    <w:p w14:paraId="2577D4FC" w14:textId="1B0F6CC3" w:rsidR="00E911BA" w:rsidRDefault="00E911BA" w:rsidP="00E911BA">
      <w:pPr>
        <w:pStyle w:val="NewAct"/>
      </w:pPr>
      <w:hyperlink r:id="rId105" w:tooltip="SL2020-11" w:history="1">
        <w:r w:rsidRPr="00E911BA">
          <w:rPr>
            <w:rStyle w:val="charCitHyperlinkAbbrev"/>
          </w:rPr>
          <w:t>Motor Accident Injuries (Premiums and Administration) Amendment Regulation 2020 (No 1)</w:t>
        </w:r>
      </w:hyperlink>
      <w:r>
        <w:t xml:space="preserve"> SL2020-11</w:t>
      </w:r>
    </w:p>
    <w:p w14:paraId="3FDE00D9" w14:textId="00827E5F" w:rsidR="00E911BA" w:rsidRDefault="00E911BA" w:rsidP="00E911BA">
      <w:pPr>
        <w:pStyle w:val="Actdetails"/>
      </w:pPr>
      <w:r>
        <w:t xml:space="preserve">notified LR </w:t>
      </w:r>
      <w:r w:rsidR="003E7C9B">
        <w:t>2</w:t>
      </w:r>
      <w:r>
        <w:t xml:space="preserve"> April 2020</w:t>
      </w:r>
    </w:p>
    <w:p w14:paraId="09C0E7EA" w14:textId="14E7BDBA" w:rsidR="00E911BA" w:rsidRDefault="00E911BA" w:rsidP="00E911BA">
      <w:pPr>
        <w:pStyle w:val="Actdetails"/>
      </w:pPr>
      <w:r>
        <w:t xml:space="preserve">s 1, s 2 commenced </w:t>
      </w:r>
      <w:r w:rsidR="003E7C9B">
        <w:t>2</w:t>
      </w:r>
      <w:r>
        <w:t xml:space="preserve"> April 2020 (LA s 79 </w:t>
      </w:r>
      <w:r w:rsidR="00AE3BF2">
        <w:t>(1)</w:t>
      </w:r>
      <w:r>
        <w:t>)</w:t>
      </w:r>
    </w:p>
    <w:p w14:paraId="7AC51C3D" w14:textId="389FEFFF" w:rsidR="00AE3BF2" w:rsidRDefault="00AE3BF2" w:rsidP="00E911BA">
      <w:pPr>
        <w:pStyle w:val="Actdetails"/>
      </w:pPr>
      <w:r>
        <w:t xml:space="preserve">s 4, s 7 commenced </w:t>
      </w:r>
      <w:r w:rsidR="003E7C9B">
        <w:t>3</w:t>
      </w:r>
      <w:r>
        <w:t xml:space="preserve"> April 2020 (s 2 </w:t>
      </w:r>
      <w:r w:rsidR="003E7C9B">
        <w:t xml:space="preserve">(2) </w:t>
      </w:r>
      <w:r>
        <w:t>(b))</w:t>
      </w:r>
    </w:p>
    <w:p w14:paraId="686A1A77" w14:textId="2A078CC5" w:rsidR="00E911BA" w:rsidRPr="00E911BA" w:rsidRDefault="00E911BA" w:rsidP="00E911BA">
      <w:pPr>
        <w:pStyle w:val="Actdetails"/>
      </w:pPr>
      <w:r>
        <w:t xml:space="preserve">remainder commenced </w:t>
      </w:r>
      <w:r w:rsidR="003E7C9B">
        <w:t>3</w:t>
      </w:r>
      <w:r>
        <w:t xml:space="preserve"> April 2020 (s 2</w:t>
      </w:r>
      <w:r w:rsidR="00AE3BF2">
        <w:t xml:space="preserve"> (1)</w:t>
      </w:r>
      <w:r>
        <w:t>)</w:t>
      </w:r>
    </w:p>
    <w:p w14:paraId="0B2CC2A7" w14:textId="6B8EF66D" w:rsidR="000C0ADB" w:rsidRDefault="000C0ADB" w:rsidP="000C0ADB">
      <w:pPr>
        <w:pStyle w:val="NewAct"/>
      </w:pPr>
      <w:hyperlink r:id="rId106" w:tooltip="SL2022-18" w:history="1">
        <w:r>
          <w:rPr>
            <w:rStyle w:val="charCitHyperlinkAbbrev"/>
          </w:rPr>
          <w:t>Motor Accident Injuries (Premiums and Administration) Amendment Regulation 2022 (No 1)</w:t>
        </w:r>
      </w:hyperlink>
      <w:r>
        <w:t xml:space="preserve"> SL2022-18</w:t>
      </w:r>
    </w:p>
    <w:p w14:paraId="4F34302C" w14:textId="5FC76D44" w:rsidR="000C0ADB" w:rsidRDefault="000C0ADB" w:rsidP="000C0ADB">
      <w:pPr>
        <w:pStyle w:val="Actdetails"/>
      </w:pPr>
      <w:r>
        <w:t>notified LR 8 December 2022</w:t>
      </w:r>
    </w:p>
    <w:p w14:paraId="2028E7F8" w14:textId="711F3F41" w:rsidR="000C0ADB" w:rsidRDefault="000C0ADB" w:rsidP="000C0ADB">
      <w:pPr>
        <w:pStyle w:val="Actdetails"/>
      </w:pPr>
      <w:r>
        <w:t>s 1, s 2 commenced 8 December 2022 (LA s 79 (1))</w:t>
      </w:r>
    </w:p>
    <w:p w14:paraId="32A18D94" w14:textId="66D03212" w:rsidR="000C0ADB" w:rsidRDefault="000C0ADB" w:rsidP="000C0ADB">
      <w:pPr>
        <w:pStyle w:val="Actdetails"/>
      </w:pPr>
      <w:r>
        <w:t>remainder commenced 9 December 2022 (s 2)</w:t>
      </w:r>
    </w:p>
    <w:p w14:paraId="4CBF5988" w14:textId="578DF9CF" w:rsidR="001114D0" w:rsidRDefault="001114D0" w:rsidP="001114D0">
      <w:pPr>
        <w:pStyle w:val="NewAct"/>
      </w:pPr>
      <w:hyperlink r:id="rId107" w:tooltip="SL2023-37" w:history="1">
        <w:r>
          <w:rPr>
            <w:rStyle w:val="charCitHyperlinkAbbrev"/>
          </w:rPr>
          <w:t>Motor Accident Injuries (Premiums and Administration) Amendment Regulation 2023 (No 1)</w:t>
        </w:r>
      </w:hyperlink>
      <w:r>
        <w:t xml:space="preserve"> SL2023-37</w:t>
      </w:r>
    </w:p>
    <w:p w14:paraId="63DA88C1" w14:textId="718674F3" w:rsidR="001114D0" w:rsidRDefault="001114D0" w:rsidP="001114D0">
      <w:pPr>
        <w:pStyle w:val="Actdetails"/>
      </w:pPr>
      <w:r>
        <w:t>notified LR 14 December 2023</w:t>
      </w:r>
    </w:p>
    <w:p w14:paraId="51BD367E" w14:textId="6B492C55" w:rsidR="001114D0" w:rsidRDefault="001114D0" w:rsidP="001114D0">
      <w:pPr>
        <w:pStyle w:val="Actdetails"/>
      </w:pPr>
      <w:r>
        <w:t>s 1, s 2 commenced 14 December 2023 (LA s 79 (1))</w:t>
      </w:r>
    </w:p>
    <w:p w14:paraId="2EA467FC" w14:textId="11C724B6" w:rsidR="006065F2" w:rsidRPr="00E911BA" w:rsidRDefault="001114D0" w:rsidP="001114D0">
      <w:pPr>
        <w:pStyle w:val="Actdetails"/>
      </w:pPr>
      <w:r>
        <w:t>remainder commenced 15 December 2023 (s 2)</w:t>
      </w:r>
    </w:p>
    <w:p w14:paraId="3D5F930A" w14:textId="77777777" w:rsidR="00E531CF" w:rsidRPr="00B9187D" w:rsidRDefault="00E531CF" w:rsidP="00E531CF">
      <w:pPr>
        <w:pStyle w:val="PageBreak"/>
      </w:pPr>
      <w:r w:rsidRPr="00B9187D">
        <w:br w:type="page"/>
      </w:r>
    </w:p>
    <w:p w14:paraId="1698BB01" w14:textId="77777777" w:rsidR="00E531CF" w:rsidRPr="009F0332" w:rsidRDefault="00E531CF">
      <w:pPr>
        <w:pStyle w:val="Endnote20"/>
      </w:pPr>
      <w:bookmarkStart w:id="57" w:name="_Toc153373726"/>
      <w:r w:rsidRPr="009F0332">
        <w:rPr>
          <w:rStyle w:val="charTableNo"/>
        </w:rPr>
        <w:lastRenderedPageBreak/>
        <w:t>4</w:t>
      </w:r>
      <w:r>
        <w:tab/>
      </w:r>
      <w:r w:rsidRPr="009F0332">
        <w:rPr>
          <w:rStyle w:val="charTableText"/>
        </w:rPr>
        <w:t>Amendment history</w:t>
      </w:r>
      <w:bookmarkEnd w:id="57"/>
    </w:p>
    <w:p w14:paraId="7C4ADD11" w14:textId="30120410" w:rsidR="00E531CF" w:rsidRDefault="00391EDD" w:rsidP="00E531CF">
      <w:pPr>
        <w:pStyle w:val="AmdtsEntryHd"/>
      </w:pPr>
      <w:r>
        <w:t>Commencement</w:t>
      </w:r>
    </w:p>
    <w:p w14:paraId="3E32A830" w14:textId="7702443C" w:rsidR="00391EDD" w:rsidRDefault="00391EDD" w:rsidP="00391EDD">
      <w:pPr>
        <w:pStyle w:val="AmdtsEntries"/>
      </w:pPr>
      <w:r>
        <w:t>s 2</w:t>
      </w:r>
      <w:r>
        <w:tab/>
        <w:t>om LA s 89 (4)</w:t>
      </w:r>
    </w:p>
    <w:p w14:paraId="2D009EF8" w14:textId="6C58B0CF" w:rsidR="00324F97" w:rsidRDefault="00324F97" w:rsidP="00324F97">
      <w:pPr>
        <w:pStyle w:val="AmdtsEntryHd"/>
      </w:pPr>
      <w:r w:rsidRPr="0040482C">
        <w:t xml:space="preserve">Indexation day—Act, s 18, def </w:t>
      </w:r>
      <w:r w:rsidRPr="0040482C">
        <w:rPr>
          <w:rStyle w:val="charItals"/>
        </w:rPr>
        <w:t>AWE indexed</w:t>
      </w:r>
      <w:r w:rsidRPr="0040482C">
        <w:t>, par (b)</w:t>
      </w:r>
    </w:p>
    <w:p w14:paraId="23C7A075" w14:textId="5476E905" w:rsidR="00AE3BF2" w:rsidRDefault="00324F97" w:rsidP="00324F97">
      <w:pPr>
        <w:pStyle w:val="AmdtsEntries"/>
      </w:pPr>
      <w:r>
        <w:t>s 7</w:t>
      </w:r>
      <w:r w:rsidR="00AE3BF2">
        <w:tab/>
        <w:t xml:space="preserve">am </w:t>
      </w:r>
      <w:hyperlink r:id="rId108" w:tooltip="Motor Accident Injuries (Premiums and Administration) Amendment Regulation 2020 (No 1)" w:history="1">
        <w:r w:rsidR="008F4EB6" w:rsidRPr="007D6735">
          <w:rPr>
            <w:rStyle w:val="charCitHyperlinkAbbrev"/>
          </w:rPr>
          <w:t>SL2020</w:t>
        </w:r>
        <w:r w:rsidR="008F4EB6" w:rsidRPr="007D6735">
          <w:rPr>
            <w:rStyle w:val="charCitHyperlinkAbbrev"/>
          </w:rPr>
          <w:noBreakHyphen/>
          <w:t>11</w:t>
        </w:r>
      </w:hyperlink>
      <w:r w:rsidR="00AE3BF2">
        <w:t xml:space="preserve"> s 4</w:t>
      </w:r>
      <w:r w:rsidR="008F4EB6">
        <w:t>, s 5; ss renum R2 LA</w:t>
      </w:r>
    </w:p>
    <w:p w14:paraId="2183F627" w14:textId="17163284" w:rsidR="00324F97" w:rsidRPr="00B04FDE" w:rsidRDefault="00324F97" w:rsidP="00324F97">
      <w:pPr>
        <w:pStyle w:val="AmdtsEntries"/>
      </w:pPr>
      <w:r>
        <w:tab/>
      </w:r>
      <w:r w:rsidRPr="00B04FDE">
        <w:rPr>
          <w:rStyle w:val="charUnderline"/>
          <w:u w:val="none"/>
        </w:rPr>
        <w:t>(</w:t>
      </w:r>
      <w:r w:rsidR="00787961" w:rsidRPr="00B04FDE">
        <w:rPr>
          <w:rStyle w:val="charUnderline"/>
          <w:u w:val="none"/>
        </w:rPr>
        <w:t>4</w:t>
      </w:r>
      <w:r w:rsidRPr="00B04FDE">
        <w:rPr>
          <w:rStyle w:val="charUnderline"/>
          <w:u w:val="none"/>
        </w:rPr>
        <w:t>), (</w:t>
      </w:r>
      <w:r w:rsidR="00787961" w:rsidRPr="00B04FDE">
        <w:rPr>
          <w:rStyle w:val="charUnderline"/>
          <w:u w:val="none"/>
        </w:rPr>
        <w:t>5</w:t>
      </w:r>
      <w:r w:rsidRPr="00B04FDE">
        <w:rPr>
          <w:rStyle w:val="charUnderline"/>
          <w:u w:val="none"/>
        </w:rPr>
        <w:t>) exp 1 February 2021 (s 7 (</w:t>
      </w:r>
      <w:r w:rsidR="00BB7296">
        <w:rPr>
          <w:rStyle w:val="charUnderline"/>
          <w:u w:val="none"/>
        </w:rPr>
        <w:t>5</w:t>
      </w:r>
      <w:r w:rsidRPr="00B04FDE">
        <w:rPr>
          <w:rStyle w:val="charUnderline"/>
          <w:u w:val="none"/>
        </w:rPr>
        <w:t>))</w:t>
      </w:r>
    </w:p>
    <w:p w14:paraId="3B02AFF3" w14:textId="26A78BE5" w:rsidR="008F4EB6" w:rsidRDefault="008F4EB6" w:rsidP="00324F97">
      <w:pPr>
        <w:pStyle w:val="AmdtsEntryHd"/>
        <w:rPr>
          <w:rStyle w:val="charItals"/>
        </w:rPr>
      </w:pPr>
      <w:r w:rsidRPr="0040482C">
        <w:t xml:space="preserve">AWE indexation factor—amounts indexed annually—Act, s 19 (3), def </w:t>
      </w:r>
      <w:r w:rsidRPr="0040482C">
        <w:rPr>
          <w:rStyle w:val="charItals"/>
        </w:rPr>
        <w:t>AWE indexation factor</w:t>
      </w:r>
    </w:p>
    <w:p w14:paraId="04AE889E" w14:textId="64F252ED" w:rsidR="008F4EB6" w:rsidRPr="008F4EB6" w:rsidRDefault="008F4EB6" w:rsidP="008F4EB6">
      <w:pPr>
        <w:pStyle w:val="AmdtsEntries"/>
      </w:pPr>
      <w:r>
        <w:t>s 9</w:t>
      </w:r>
      <w:r>
        <w:tab/>
        <w:t xml:space="preserve">am </w:t>
      </w:r>
      <w:hyperlink r:id="rId109" w:tooltip="Motor Accident Injuries (Premiums and Administration) Amendment Regulation 2020 (No 1)" w:history="1">
        <w:r w:rsidR="00212007" w:rsidRPr="007D6735">
          <w:rPr>
            <w:rStyle w:val="charCitHyperlinkAbbrev"/>
          </w:rPr>
          <w:t>SL2020</w:t>
        </w:r>
        <w:r w:rsidR="00212007" w:rsidRPr="007D6735">
          <w:rPr>
            <w:rStyle w:val="charCitHyperlinkAbbrev"/>
          </w:rPr>
          <w:noBreakHyphen/>
          <w:t>11</w:t>
        </w:r>
      </w:hyperlink>
      <w:r>
        <w:t xml:space="preserve"> s 7</w:t>
      </w:r>
      <w:r w:rsidR="00212007">
        <w:t>; ss renum R2 LA</w:t>
      </w:r>
    </w:p>
    <w:p w14:paraId="39091B13" w14:textId="70E92378" w:rsidR="00324F97" w:rsidRDefault="004D4E61" w:rsidP="00324F97">
      <w:pPr>
        <w:pStyle w:val="AmdtsEntryHd"/>
      </w:pPr>
      <w:r>
        <w:t>Adjustment</w:t>
      </w:r>
      <w:r w:rsidR="00324F97" w:rsidRPr="0040482C">
        <w:t xml:space="preserve"> day—Act, s </w:t>
      </w:r>
      <w:r>
        <w:t>94 (1)</w:t>
      </w:r>
      <w:r w:rsidR="00324F97" w:rsidRPr="0040482C">
        <w:t xml:space="preserve">, def </w:t>
      </w:r>
      <w:r w:rsidR="00324F97" w:rsidRPr="0040482C">
        <w:rPr>
          <w:rStyle w:val="charItals"/>
        </w:rPr>
        <w:t xml:space="preserve">AWE </w:t>
      </w:r>
      <w:r w:rsidR="009F1E36">
        <w:rPr>
          <w:rStyle w:val="charItals"/>
        </w:rPr>
        <w:t>adjusted</w:t>
      </w:r>
      <w:r w:rsidR="00324F97" w:rsidRPr="0040482C">
        <w:t>, par (b)</w:t>
      </w:r>
    </w:p>
    <w:p w14:paraId="2D607036" w14:textId="5DD2C491" w:rsidR="00324F97" w:rsidRDefault="00324F97" w:rsidP="00324F97">
      <w:pPr>
        <w:pStyle w:val="AmdtsEntries"/>
        <w:rPr>
          <w:rStyle w:val="charUnderline"/>
        </w:rPr>
      </w:pPr>
      <w:r>
        <w:t>s 10</w:t>
      </w:r>
      <w:r>
        <w:tab/>
      </w:r>
      <w:r w:rsidRPr="00B04FDE">
        <w:rPr>
          <w:rStyle w:val="charUnderline"/>
          <w:u w:val="none"/>
        </w:rPr>
        <w:t xml:space="preserve">(2), (3) exp 1 February 2021 (s </w:t>
      </w:r>
      <w:r w:rsidR="009F1E36" w:rsidRPr="00B04FDE">
        <w:rPr>
          <w:rStyle w:val="charUnderline"/>
          <w:u w:val="none"/>
        </w:rPr>
        <w:t>10</w:t>
      </w:r>
      <w:r w:rsidRPr="00B04FDE">
        <w:rPr>
          <w:rStyle w:val="charUnderline"/>
          <w:u w:val="none"/>
        </w:rPr>
        <w:t xml:space="preserve"> (</w:t>
      </w:r>
      <w:r w:rsidR="009F1E36" w:rsidRPr="00B04FDE">
        <w:rPr>
          <w:rStyle w:val="charUnderline"/>
          <w:u w:val="none"/>
        </w:rPr>
        <w:t>3</w:t>
      </w:r>
      <w:r w:rsidRPr="00B04FDE">
        <w:rPr>
          <w:rStyle w:val="charUnderline"/>
          <w:u w:val="none"/>
        </w:rPr>
        <w:t>))</w:t>
      </w:r>
    </w:p>
    <w:p w14:paraId="06C3F6B4" w14:textId="3E4C965B" w:rsidR="003351FA" w:rsidRDefault="003351FA" w:rsidP="00212007">
      <w:pPr>
        <w:pStyle w:val="AmdtsEntryHd"/>
      </w:pPr>
      <w:r w:rsidRPr="0040482C">
        <w:t>Amount of interim weekly payment—prescribed percentage—Act, s 103 (3)</w:t>
      </w:r>
    </w:p>
    <w:p w14:paraId="1B30EE9D" w14:textId="04FD3E95" w:rsidR="003351FA" w:rsidRPr="003351FA" w:rsidRDefault="003351FA" w:rsidP="003351FA">
      <w:pPr>
        <w:pStyle w:val="AmdtsEntries"/>
      </w:pPr>
      <w:r>
        <w:t>s 12</w:t>
      </w:r>
      <w:r>
        <w:tab/>
        <w:t xml:space="preserve">am </w:t>
      </w:r>
      <w:hyperlink r:id="rId110" w:tooltip="Motor Accident Injuries (Premiums and Administration) Amendment Regulation 2022 (No 1)" w:history="1">
        <w:r>
          <w:rPr>
            <w:rStyle w:val="charCitHyperlinkAbbrev"/>
          </w:rPr>
          <w:t>SL2022</w:t>
        </w:r>
        <w:r>
          <w:rPr>
            <w:rStyle w:val="charCitHyperlinkAbbrev"/>
          </w:rPr>
          <w:noBreakHyphen/>
          <w:t>18</w:t>
        </w:r>
      </w:hyperlink>
      <w:r>
        <w:t xml:space="preserve"> s 4</w:t>
      </w:r>
    </w:p>
    <w:p w14:paraId="79CBE19D" w14:textId="207D6CCF" w:rsidR="00212007" w:rsidRDefault="00212007" w:rsidP="00212007">
      <w:pPr>
        <w:pStyle w:val="AmdtsEntryHd"/>
        <w:rPr>
          <w:color w:val="000000"/>
        </w:rPr>
      </w:pPr>
      <w:r w:rsidRPr="0066333B">
        <w:rPr>
          <w:color w:val="000000"/>
        </w:rPr>
        <w:t>Quality of life benefits</w:t>
      </w:r>
    </w:p>
    <w:p w14:paraId="4E998B2B" w14:textId="4BF696D4" w:rsidR="00212007" w:rsidRPr="00212007" w:rsidRDefault="00212007" w:rsidP="00212007">
      <w:pPr>
        <w:pStyle w:val="AmdtsEntries"/>
      </w:pPr>
      <w:r>
        <w:t>pt 3A hdg</w:t>
      </w:r>
      <w:r>
        <w:tab/>
        <w:t xml:space="preserve">ins </w:t>
      </w:r>
      <w:hyperlink r:id="rId111"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53842D0B" w14:textId="6295CB6F" w:rsidR="00212007" w:rsidRDefault="00212007" w:rsidP="00212007">
      <w:pPr>
        <w:pStyle w:val="AmdtsEntryHd"/>
        <w:rPr>
          <w:color w:val="000000"/>
        </w:rPr>
      </w:pPr>
      <w:r w:rsidRPr="0066333B">
        <w:rPr>
          <w:color w:val="000000"/>
        </w:rPr>
        <w:t>WPI taken to be 10% in certain circumstances—prescribed requirements—Act, s 133 (1) (b) (i)</w:t>
      </w:r>
    </w:p>
    <w:p w14:paraId="10C0EBB8" w14:textId="341CF2A6" w:rsidR="00212007" w:rsidRPr="00212007" w:rsidRDefault="00212007" w:rsidP="00212007">
      <w:pPr>
        <w:pStyle w:val="AmdtsEntries"/>
      </w:pPr>
      <w:r>
        <w:t>s 13A</w:t>
      </w:r>
      <w:r>
        <w:tab/>
        <w:t xml:space="preserve">ins </w:t>
      </w:r>
      <w:hyperlink r:id="rId112"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2FA58110" w14:textId="0850840D" w:rsidR="00212007" w:rsidRDefault="00212007" w:rsidP="00212007">
      <w:pPr>
        <w:pStyle w:val="AmdtsEntryHd"/>
        <w:rPr>
          <w:color w:val="000000"/>
        </w:rPr>
      </w:pPr>
      <w:r w:rsidRPr="0066333B">
        <w:rPr>
          <w:color w:val="000000"/>
        </w:rPr>
        <w:t>Medical treatment</w:t>
      </w:r>
    </w:p>
    <w:p w14:paraId="7B551DEC" w14:textId="6925CCD8" w:rsidR="00212007" w:rsidRPr="00212007" w:rsidRDefault="00212007" w:rsidP="00212007">
      <w:pPr>
        <w:pStyle w:val="AmdtsEntries"/>
      </w:pPr>
      <w:r>
        <w:t>pt 3B hdg</w:t>
      </w:r>
      <w:r>
        <w:tab/>
        <w:t xml:space="preserve">ins </w:t>
      </w:r>
      <w:hyperlink r:id="rId113"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7334E054" w14:textId="2763C0BB" w:rsidR="00212007" w:rsidRDefault="00212007" w:rsidP="00212007">
      <w:pPr>
        <w:pStyle w:val="AmdtsEntryHd"/>
        <w:rPr>
          <w:color w:val="000000"/>
        </w:rPr>
      </w:pPr>
      <w:r w:rsidRPr="0066333B">
        <w:rPr>
          <w:color w:val="000000"/>
        </w:rPr>
        <w:t xml:space="preserve">Medical treatment—Act, s 221, def </w:t>
      </w:r>
      <w:r w:rsidRPr="0066333B">
        <w:rPr>
          <w:rStyle w:val="charItals"/>
        </w:rPr>
        <w:t>medical treatment</w:t>
      </w:r>
    </w:p>
    <w:p w14:paraId="4E8EECAD" w14:textId="5DABAF03" w:rsidR="00212007" w:rsidRPr="00212007" w:rsidRDefault="00212007" w:rsidP="00212007">
      <w:pPr>
        <w:pStyle w:val="AmdtsEntries"/>
      </w:pPr>
      <w:r>
        <w:t>s 13B</w:t>
      </w:r>
      <w:r>
        <w:tab/>
        <w:t xml:space="preserve">ins </w:t>
      </w:r>
      <w:hyperlink r:id="rId114"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35AEBC4C" w14:textId="5C1516CE" w:rsidR="00212007" w:rsidRDefault="00212007" w:rsidP="00212007">
      <w:pPr>
        <w:pStyle w:val="AmdtsEntryHd"/>
        <w:rPr>
          <w:color w:val="000000"/>
        </w:rPr>
      </w:pPr>
      <w:r w:rsidRPr="0066333B">
        <w:rPr>
          <w:color w:val="000000"/>
        </w:rPr>
        <w:t>Motor accident claims</w:t>
      </w:r>
    </w:p>
    <w:p w14:paraId="0B7A73F3" w14:textId="48C4B72C" w:rsidR="00212007" w:rsidRPr="00212007" w:rsidRDefault="00212007" w:rsidP="00212007">
      <w:pPr>
        <w:pStyle w:val="AmdtsEntries"/>
      </w:pPr>
      <w:r>
        <w:t>pt 3C hdg</w:t>
      </w:r>
      <w:r>
        <w:tab/>
        <w:t xml:space="preserve">ins </w:t>
      </w:r>
      <w:hyperlink r:id="rId115"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1BD37794" w14:textId="7BCE4E4D" w:rsidR="00212007" w:rsidRDefault="00212007" w:rsidP="00212007">
      <w:pPr>
        <w:pStyle w:val="AmdtsEntryHd"/>
        <w:rPr>
          <w:color w:val="000000"/>
        </w:rPr>
      </w:pPr>
      <w:r w:rsidRPr="0066333B">
        <w:rPr>
          <w:color w:val="000000"/>
        </w:rPr>
        <w:t>Mandatory final offer accepted—costs—Act, s 266 (2)</w:t>
      </w:r>
    </w:p>
    <w:p w14:paraId="1A9F2071" w14:textId="396359E7" w:rsidR="00212007" w:rsidRDefault="00212007" w:rsidP="00212007">
      <w:pPr>
        <w:pStyle w:val="AmdtsEntries"/>
      </w:pPr>
      <w:r>
        <w:t>s 13C</w:t>
      </w:r>
      <w:r>
        <w:tab/>
        <w:t xml:space="preserve">ins </w:t>
      </w:r>
      <w:hyperlink r:id="rId116"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8</w:t>
      </w:r>
    </w:p>
    <w:p w14:paraId="21499FF6" w14:textId="029ED554" w:rsidR="00212007" w:rsidRDefault="00054055" w:rsidP="00054055">
      <w:pPr>
        <w:pStyle w:val="AmdtsEntryHd"/>
      </w:pPr>
      <w:r w:rsidRPr="0040482C">
        <w:t>Offence—failure to pay contribution—Act, s 331 (1) (b)</w:t>
      </w:r>
    </w:p>
    <w:p w14:paraId="226AB38A" w14:textId="5751CE6E" w:rsidR="00054055" w:rsidRDefault="00054055" w:rsidP="00054055">
      <w:pPr>
        <w:pStyle w:val="AmdtsEntries"/>
      </w:pPr>
      <w:r>
        <w:t>s 23</w:t>
      </w:r>
      <w:r>
        <w:tab/>
        <w:t xml:space="preserve">am </w:t>
      </w:r>
      <w:hyperlink r:id="rId117" w:tooltip="Motor Accident Injuries (Premiums and Administration) Amendment Regulation 2020 (No 1)" w:history="1">
        <w:r w:rsidRPr="007D6735">
          <w:rPr>
            <w:rStyle w:val="charCitHyperlinkAbbrev"/>
          </w:rPr>
          <w:t>SL2020</w:t>
        </w:r>
        <w:r w:rsidRPr="007D6735">
          <w:rPr>
            <w:rStyle w:val="charCitHyperlinkAbbrev"/>
          </w:rPr>
          <w:noBreakHyphen/>
          <w:t>11</w:t>
        </w:r>
      </w:hyperlink>
      <w:r>
        <w:t xml:space="preserve"> s 9; ss renum R2 LA</w:t>
      </w:r>
    </w:p>
    <w:p w14:paraId="00EAEF43" w14:textId="16E6726A" w:rsidR="006065F2" w:rsidRDefault="006065F2" w:rsidP="006065F2">
      <w:pPr>
        <w:pStyle w:val="AmdtsEntryHd"/>
      </w:pPr>
      <w:r w:rsidRPr="00F64DAB">
        <w:t>Financial penalties—matters that must be considered—Act, s 394D (1) (c)</w:t>
      </w:r>
    </w:p>
    <w:p w14:paraId="76DEC014" w14:textId="7751B72A" w:rsidR="006065F2" w:rsidRDefault="006065F2" w:rsidP="00054055">
      <w:pPr>
        <w:pStyle w:val="AmdtsEntries"/>
      </w:pPr>
      <w:r>
        <w:t>s 26</w:t>
      </w:r>
      <w:r>
        <w:tab/>
        <w:t xml:space="preserve">ins </w:t>
      </w:r>
      <w:hyperlink r:id="rId118" w:tooltip="Motor Accident Injuries (Premiums and Administration) Amendment Regulation 2023 (No 1)" w:history="1">
        <w:r>
          <w:rPr>
            <w:rStyle w:val="charCitHyperlinkAbbrev"/>
          </w:rPr>
          <w:t>SL2023</w:t>
        </w:r>
        <w:r>
          <w:rPr>
            <w:rStyle w:val="charCitHyperlinkAbbrev"/>
          </w:rPr>
          <w:noBreakHyphen/>
          <w:t>37</w:t>
        </w:r>
      </w:hyperlink>
      <w:r>
        <w:t xml:space="preserve"> s 4</w:t>
      </w:r>
    </w:p>
    <w:p w14:paraId="39F1D542" w14:textId="1C8EBB17" w:rsidR="003351FA" w:rsidRDefault="003351FA" w:rsidP="003351FA">
      <w:pPr>
        <w:pStyle w:val="AmdtsEntryHd"/>
      </w:pPr>
      <w:r w:rsidRPr="0040482C">
        <w:t>Definitions—sch 1</w:t>
      </w:r>
    </w:p>
    <w:p w14:paraId="2AAC3221" w14:textId="5ADCAABC" w:rsidR="003351FA" w:rsidRDefault="003351FA" w:rsidP="003351FA">
      <w:pPr>
        <w:pStyle w:val="AmdtsEntries"/>
      </w:pPr>
      <w:r>
        <w:t>sch 1 s 1.1</w:t>
      </w:r>
      <w:r>
        <w:tab/>
        <w:t xml:space="preserve">def </w:t>
      </w:r>
      <w:r w:rsidRPr="003351FA">
        <w:rPr>
          <w:rStyle w:val="charBoldItals"/>
        </w:rPr>
        <w:t>modified historic vehicle</w:t>
      </w:r>
      <w:r>
        <w:t xml:space="preserve"> ins </w:t>
      </w:r>
      <w:hyperlink r:id="rId119" w:tooltip="Motor Accident Injuries (Premiums and Administration) Amendment Regulation 2022 (No 1)" w:history="1">
        <w:r>
          <w:rPr>
            <w:rStyle w:val="charCitHyperlinkAbbrev"/>
          </w:rPr>
          <w:t>SL2022</w:t>
        </w:r>
        <w:r>
          <w:rPr>
            <w:rStyle w:val="charCitHyperlinkAbbrev"/>
          </w:rPr>
          <w:noBreakHyphen/>
          <w:t>18</w:t>
        </w:r>
      </w:hyperlink>
      <w:r>
        <w:t xml:space="preserve"> s 5</w:t>
      </w:r>
    </w:p>
    <w:p w14:paraId="6AA6B696" w14:textId="7080D5E0" w:rsidR="003351FA" w:rsidRDefault="007515D5" w:rsidP="003351FA">
      <w:pPr>
        <w:pStyle w:val="AmdtsEntryHd"/>
        <w:rPr>
          <w:rStyle w:val="CharPartText"/>
        </w:rPr>
      </w:pPr>
      <w:r w:rsidRPr="009917C6">
        <w:rPr>
          <w:rStyle w:val="CharPartText"/>
        </w:rPr>
        <w:t>MAI premium classes</w:t>
      </w:r>
    </w:p>
    <w:p w14:paraId="1999D5E2" w14:textId="26531BE1" w:rsidR="007515D5" w:rsidRDefault="007515D5" w:rsidP="007515D5">
      <w:pPr>
        <w:pStyle w:val="AmdtsEntries"/>
      </w:pPr>
      <w:r>
        <w:t>sch 1 pt 1.2</w:t>
      </w:r>
      <w:r>
        <w:tab/>
        <w:t xml:space="preserve">am </w:t>
      </w:r>
      <w:hyperlink r:id="rId120" w:tooltip="Motor Accident Injuries (Premiums and Administration) Amendment Regulation 2022 (No 1)" w:history="1">
        <w:r>
          <w:rPr>
            <w:rStyle w:val="charCitHyperlinkAbbrev"/>
          </w:rPr>
          <w:t>SL2022</w:t>
        </w:r>
        <w:r>
          <w:rPr>
            <w:rStyle w:val="charCitHyperlinkAbbrev"/>
          </w:rPr>
          <w:noBreakHyphen/>
          <w:t>18</w:t>
        </w:r>
      </w:hyperlink>
      <w:r>
        <w:t xml:space="preserve"> s 6; items renum R4 LA</w:t>
      </w:r>
    </w:p>
    <w:p w14:paraId="756F050D" w14:textId="1DD14822" w:rsidR="007515D5" w:rsidRDefault="007515D5" w:rsidP="007515D5">
      <w:pPr>
        <w:pStyle w:val="AmdtsEntryHd"/>
      </w:pPr>
      <w:r>
        <w:t>Dictionary</w:t>
      </w:r>
    </w:p>
    <w:p w14:paraId="00C91579" w14:textId="7B1F06CE" w:rsidR="007515D5" w:rsidRPr="007515D5" w:rsidRDefault="007515D5" w:rsidP="007515D5">
      <w:pPr>
        <w:pStyle w:val="AmdtsEntries"/>
      </w:pPr>
      <w:r>
        <w:t>dict</w:t>
      </w:r>
      <w:r>
        <w:tab/>
        <w:t xml:space="preserve">def </w:t>
      </w:r>
      <w:r w:rsidRPr="003351FA">
        <w:rPr>
          <w:rStyle w:val="charBoldItals"/>
        </w:rPr>
        <w:t>modified historic vehicle</w:t>
      </w:r>
      <w:r>
        <w:t xml:space="preserve"> ins </w:t>
      </w:r>
      <w:hyperlink r:id="rId121" w:tooltip="Motor Accident Injuries (Premiums and Administration) Amendment Regulation 2022 (No 1)" w:history="1">
        <w:r>
          <w:rPr>
            <w:rStyle w:val="charCitHyperlinkAbbrev"/>
          </w:rPr>
          <w:t>SL2022</w:t>
        </w:r>
        <w:r>
          <w:rPr>
            <w:rStyle w:val="charCitHyperlinkAbbrev"/>
          </w:rPr>
          <w:noBreakHyphen/>
          <w:t>18</w:t>
        </w:r>
      </w:hyperlink>
      <w:r>
        <w:t xml:space="preserve"> s 7</w:t>
      </w:r>
    </w:p>
    <w:p w14:paraId="4948C2AA" w14:textId="77777777" w:rsidR="00904D05" w:rsidRPr="00904D05" w:rsidRDefault="00904D05" w:rsidP="00904D05">
      <w:pPr>
        <w:pStyle w:val="PageBreak"/>
      </w:pPr>
      <w:r w:rsidRPr="00904D05">
        <w:br w:type="page"/>
      </w:r>
    </w:p>
    <w:p w14:paraId="03C9A3E4" w14:textId="2BCF42F7" w:rsidR="00054055" w:rsidRPr="009F0332" w:rsidRDefault="00054055">
      <w:pPr>
        <w:pStyle w:val="Endnote20"/>
      </w:pPr>
      <w:bookmarkStart w:id="58" w:name="_Toc153373727"/>
      <w:r w:rsidRPr="009F0332">
        <w:rPr>
          <w:rStyle w:val="charTableNo"/>
        </w:rPr>
        <w:lastRenderedPageBreak/>
        <w:t>5</w:t>
      </w:r>
      <w:r>
        <w:tab/>
      </w:r>
      <w:r w:rsidRPr="009F0332">
        <w:rPr>
          <w:rStyle w:val="charTableText"/>
        </w:rPr>
        <w:t>Earlier republications</w:t>
      </w:r>
      <w:bookmarkEnd w:id="58"/>
    </w:p>
    <w:p w14:paraId="69A12629" w14:textId="77777777" w:rsidR="00054055" w:rsidRDefault="00054055">
      <w:pPr>
        <w:pStyle w:val="EndNoteTextPub"/>
      </w:pPr>
      <w:r>
        <w:t xml:space="preserve">Some earlier republications were not numbered. The number in column 1 refers to the publication order.  </w:t>
      </w:r>
    </w:p>
    <w:p w14:paraId="6641E5E8" w14:textId="77777777" w:rsidR="00054055" w:rsidRDefault="0005405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91DEE85" w14:textId="77777777" w:rsidR="00054055" w:rsidRDefault="0005405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54055" w14:paraId="5780FA80" w14:textId="77777777" w:rsidTr="00054055">
        <w:trPr>
          <w:tblHeader/>
        </w:trPr>
        <w:tc>
          <w:tcPr>
            <w:tcW w:w="1576" w:type="dxa"/>
            <w:tcBorders>
              <w:bottom w:val="single" w:sz="4" w:space="0" w:color="auto"/>
            </w:tcBorders>
          </w:tcPr>
          <w:p w14:paraId="5C5413BF" w14:textId="77777777" w:rsidR="00054055" w:rsidRDefault="00054055">
            <w:pPr>
              <w:pStyle w:val="EarlierRepubHdg"/>
            </w:pPr>
            <w:r>
              <w:t>Republication No and date</w:t>
            </w:r>
          </w:p>
        </w:tc>
        <w:tc>
          <w:tcPr>
            <w:tcW w:w="1681" w:type="dxa"/>
            <w:tcBorders>
              <w:bottom w:val="single" w:sz="4" w:space="0" w:color="auto"/>
            </w:tcBorders>
          </w:tcPr>
          <w:p w14:paraId="20865F67" w14:textId="77777777" w:rsidR="00054055" w:rsidRDefault="00054055">
            <w:pPr>
              <w:pStyle w:val="EarlierRepubHdg"/>
            </w:pPr>
            <w:r>
              <w:t>Effective</w:t>
            </w:r>
          </w:p>
        </w:tc>
        <w:tc>
          <w:tcPr>
            <w:tcW w:w="1783" w:type="dxa"/>
            <w:tcBorders>
              <w:bottom w:val="single" w:sz="4" w:space="0" w:color="auto"/>
            </w:tcBorders>
          </w:tcPr>
          <w:p w14:paraId="5E06C42A" w14:textId="77777777" w:rsidR="00054055" w:rsidRDefault="00054055">
            <w:pPr>
              <w:pStyle w:val="EarlierRepubHdg"/>
            </w:pPr>
            <w:r>
              <w:t>Last amendment made by</w:t>
            </w:r>
          </w:p>
        </w:tc>
        <w:tc>
          <w:tcPr>
            <w:tcW w:w="1783" w:type="dxa"/>
            <w:tcBorders>
              <w:bottom w:val="single" w:sz="4" w:space="0" w:color="auto"/>
            </w:tcBorders>
          </w:tcPr>
          <w:p w14:paraId="44A05F9E" w14:textId="77777777" w:rsidR="00054055" w:rsidRDefault="00054055">
            <w:pPr>
              <w:pStyle w:val="EarlierRepubHdg"/>
            </w:pPr>
            <w:r>
              <w:t>Republication for</w:t>
            </w:r>
          </w:p>
        </w:tc>
      </w:tr>
      <w:tr w:rsidR="00054055" w14:paraId="31EA5933" w14:textId="77777777" w:rsidTr="00054055">
        <w:tc>
          <w:tcPr>
            <w:tcW w:w="1576" w:type="dxa"/>
            <w:tcBorders>
              <w:top w:val="single" w:sz="4" w:space="0" w:color="auto"/>
              <w:bottom w:val="single" w:sz="4" w:space="0" w:color="auto"/>
            </w:tcBorders>
          </w:tcPr>
          <w:p w14:paraId="0A16F2FE" w14:textId="72B7807E" w:rsidR="00054055" w:rsidRDefault="00054055">
            <w:pPr>
              <w:pStyle w:val="EarlierRepubEntries"/>
            </w:pPr>
            <w:r>
              <w:t>R1</w:t>
            </w:r>
            <w:r>
              <w:br/>
              <w:t>1 Feb 2020</w:t>
            </w:r>
          </w:p>
        </w:tc>
        <w:tc>
          <w:tcPr>
            <w:tcW w:w="1681" w:type="dxa"/>
            <w:tcBorders>
              <w:top w:val="single" w:sz="4" w:space="0" w:color="auto"/>
              <w:bottom w:val="single" w:sz="4" w:space="0" w:color="auto"/>
            </w:tcBorders>
          </w:tcPr>
          <w:p w14:paraId="2D74C2BB" w14:textId="568E99FA" w:rsidR="00054055" w:rsidRDefault="00054055">
            <w:pPr>
              <w:pStyle w:val="EarlierRepubEntries"/>
            </w:pPr>
            <w:r>
              <w:t>1 Feb 2020–</w:t>
            </w:r>
            <w:r>
              <w:br/>
            </w:r>
            <w:r w:rsidR="007A30DE">
              <w:t>2</w:t>
            </w:r>
            <w:r>
              <w:t xml:space="preserve"> Apr 2020</w:t>
            </w:r>
          </w:p>
        </w:tc>
        <w:tc>
          <w:tcPr>
            <w:tcW w:w="1783" w:type="dxa"/>
            <w:tcBorders>
              <w:top w:val="single" w:sz="4" w:space="0" w:color="auto"/>
              <w:bottom w:val="single" w:sz="4" w:space="0" w:color="auto"/>
            </w:tcBorders>
          </w:tcPr>
          <w:p w14:paraId="735F4C35" w14:textId="54E913F3" w:rsidR="00054055" w:rsidRDefault="00054055">
            <w:pPr>
              <w:pStyle w:val="EarlierRepubEntries"/>
            </w:pPr>
            <w:r>
              <w:t>not amended</w:t>
            </w:r>
          </w:p>
        </w:tc>
        <w:tc>
          <w:tcPr>
            <w:tcW w:w="1783" w:type="dxa"/>
            <w:tcBorders>
              <w:top w:val="single" w:sz="4" w:space="0" w:color="auto"/>
              <w:bottom w:val="single" w:sz="4" w:space="0" w:color="auto"/>
            </w:tcBorders>
          </w:tcPr>
          <w:p w14:paraId="29FB8A03" w14:textId="4C87F3FC" w:rsidR="00054055" w:rsidRDefault="00054055">
            <w:pPr>
              <w:pStyle w:val="EarlierRepubEntries"/>
            </w:pPr>
            <w:r>
              <w:t>new regulation</w:t>
            </w:r>
          </w:p>
        </w:tc>
      </w:tr>
      <w:tr w:rsidR="00071C4D" w14:paraId="2BA06F23" w14:textId="77777777" w:rsidTr="00054055">
        <w:tc>
          <w:tcPr>
            <w:tcW w:w="1576" w:type="dxa"/>
            <w:tcBorders>
              <w:top w:val="single" w:sz="4" w:space="0" w:color="auto"/>
              <w:bottom w:val="single" w:sz="4" w:space="0" w:color="auto"/>
            </w:tcBorders>
          </w:tcPr>
          <w:p w14:paraId="17D0B26B" w14:textId="05B01AD1" w:rsidR="00071C4D" w:rsidRDefault="00F66938">
            <w:pPr>
              <w:pStyle w:val="EarlierRepubEntries"/>
            </w:pPr>
            <w:r>
              <w:t>R2</w:t>
            </w:r>
            <w:r>
              <w:br/>
              <w:t>3 Apr 2020</w:t>
            </w:r>
          </w:p>
        </w:tc>
        <w:tc>
          <w:tcPr>
            <w:tcW w:w="1681" w:type="dxa"/>
            <w:tcBorders>
              <w:top w:val="single" w:sz="4" w:space="0" w:color="auto"/>
              <w:bottom w:val="single" w:sz="4" w:space="0" w:color="auto"/>
            </w:tcBorders>
          </w:tcPr>
          <w:p w14:paraId="3C597688" w14:textId="5EEBBE4B" w:rsidR="00071C4D" w:rsidRDefault="00F66938">
            <w:pPr>
              <w:pStyle w:val="EarlierRepubEntries"/>
            </w:pPr>
            <w:r>
              <w:t>3 Apr 2020–</w:t>
            </w:r>
            <w:r>
              <w:br/>
              <w:t>1 Feb 2021</w:t>
            </w:r>
          </w:p>
        </w:tc>
        <w:tc>
          <w:tcPr>
            <w:tcW w:w="1783" w:type="dxa"/>
            <w:tcBorders>
              <w:top w:val="single" w:sz="4" w:space="0" w:color="auto"/>
              <w:bottom w:val="single" w:sz="4" w:space="0" w:color="auto"/>
            </w:tcBorders>
          </w:tcPr>
          <w:p w14:paraId="4F251A12" w14:textId="0A85E2F0" w:rsidR="00071C4D" w:rsidRDefault="00F66938">
            <w:pPr>
              <w:pStyle w:val="EarlierRepubEntries"/>
            </w:pPr>
            <w:hyperlink r:id="rId122" w:tooltip="Motor Accident Injuries (Premiums and Administration) Amendment Regulation 2020 (No 1)" w:history="1">
              <w:r w:rsidRPr="00F66938">
                <w:rPr>
                  <w:rStyle w:val="charCitHyperlinkAbbrev"/>
                </w:rPr>
                <w:t>SL2020-11</w:t>
              </w:r>
            </w:hyperlink>
          </w:p>
        </w:tc>
        <w:tc>
          <w:tcPr>
            <w:tcW w:w="1783" w:type="dxa"/>
            <w:tcBorders>
              <w:top w:val="single" w:sz="4" w:space="0" w:color="auto"/>
              <w:bottom w:val="single" w:sz="4" w:space="0" w:color="auto"/>
            </w:tcBorders>
          </w:tcPr>
          <w:p w14:paraId="5D65F622" w14:textId="6D450839" w:rsidR="00071C4D" w:rsidRDefault="00766090">
            <w:pPr>
              <w:pStyle w:val="EarlierRepubEntries"/>
            </w:pPr>
            <w:r>
              <w:t xml:space="preserve">amendments by </w:t>
            </w:r>
            <w:hyperlink r:id="rId123" w:tooltip="Motor Accident Injuries (Premiums and Administration) Amendment Regulation 2020 (No 1)" w:history="1">
              <w:r w:rsidRPr="00F66938">
                <w:rPr>
                  <w:rStyle w:val="charCitHyperlinkAbbrev"/>
                </w:rPr>
                <w:t>SL2020-11</w:t>
              </w:r>
            </w:hyperlink>
          </w:p>
        </w:tc>
      </w:tr>
      <w:tr w:rsidR="007515D5" w14:paraId="1CB28963" w14:textId="77777777" w:rsidTr="00054055">
        <w:tc>
          <w:tcPr>
            <w:tcW w:w="1576" w:type="dxa"/>
            <w:tcBorders>
              <w:top w:val="single" w:sz="4" w:space="0" w:color="auto"/>
              <w:bottom w:val="single" w:sz="4" w:space="0" w:color="auto"/>
            </w:tcBorders>
          </w:tcPr>
          <w:p w14:paraId="6B5D34D3" w14:textId="69785360" w:rsidR="007515D5" w:rsidRDefault="007515D5">
            <w:pPr>
              <w:pStyle w:val="EarlierRepubEntries"/>
            </w:pPr>
            <w:r>
              <w:t>R3</w:t>
            </w:r>
            <w:r>
              <w:br/>
              <w:t>2 Feb 2021</w:t>
            </w:r>
          </w:p>
        </w:tc>
        <w:tc>
          <w:tcPr>
            <w:tcW w:w="1681" w:type="dxa"/>
            <w:tcBorders>
              <w:top w:val="single" w:sz="4" w:space="0" w:color="auto"/>
              <w:bottom w:val="single" w:sz="4" w:space="0" w:color="auto"/>
            </w:tcBorders>
          </w:tcPr>
          <w:p w14:paraId="71C06C99" w14:textId="12AB2170" w:rsidR="007515D5" w:rsidRDefault="007515D5">
            <w:pPr>
              <w:pStyle w:val="EarlierRepubEntries"/>
            </w:pPr>
            <w:r>
              <w:t>2 Feb 2021–</w:t>
            </w:r>
            <w:r>
              <w:br/>
              <w:t>8 Dec 2022</w:t>
            </w:r>
          </w:p>
        </w:tc>
        <w:tc>
          <w:tcPr>
            <w:tcW w:w="1783" w:type="dxa"/>
            <w:tcBorders>
              <w:top w:val="single" w:sz="4" w:space="0" w:color="auto"/>
              <w:bottom w:val="single" w:sz="4" w:space="0" w:color="auto"/>
            </w:tcBorders>
          </w:tcPr>
          <w:p w14:paraId="7E1323C9" w14:textId="5A899535" w:rsidR="007515D5" w:rsidRDefault="007515D5">
            <w:pPr>
              <w:pStyle w:val="EarlierRepubEntries"/>
            </w:pPr>
            <w:hyperlink r:id="rId124" w:tooltip="Motor Accident Injuries (Premiums and Administration) Amendment Regulation 2020 (No 1)" w:history="1">
              <w:r w:rsidRPr="00F66938">
                <w:rPr>
                  <w:rStyle w:val="charCitHyperlinkAbbrev"/>
                </w:rPr>
                <w:t>SL2020-11</w:t>
              </w:r>
            </w:hyperlink>
          </w:p>
        </w:tc>
        <w:tc>
          <w:tcPr>
            <w:tcW w:w="1783" w:type="dxa"/>
            <w:tcBorders>
              <w:top w:val="single" w:sz="4" w:space="0" w:color="auto"/>
              <w:bottom w:val="single" w:sz="4" w:space="0" w:color="auto"/>
            </w:tcBorders>
          </w:tcPr>
          <w:p w14:paraId="3F50E01D" w14:textId="4CE8838F" w:rsidR="007515D5" w:rsidRDefault="007515D5">
            <w:pPr>
              <w:pStyle w:val="EarlierRepubEntries"/>
            </w:pPr>
            <w:r w:rsidRPr="00C47876">
              <w:t xml:space="preserve">expiry of provisions (s </w:t>
            </w:r>
            <w:r w:rsidRPr="00B61D1C">
              <w:t>7 (4), (5) and s</w:t>
            </w:r>
            <w:r>
              <w:t> </w:t>
            </w:r>
            <w:r w:rsidRPr="00B61D1C">
              <w:t>10 (2), (3)</w:t>
            </w:r>
            <w:r w:rsidRPr="00C47876">
              <w:t>)</w:t>
            </w:r>
          </w:p>
        </w:tc>
      </w:tr>
      <w:tr w:rsidR="009F0332" w14:paraId="045F6218" w14:textId="77777777" w:rsidTr="00054055">
        <w:tc>
          <w:tcPr>
            <w:tcW w:w="1576" w:type="dxa"/>
            <w:tcBorders>
              <w:top w:val="single" w:sz="4" w:space="0" w:color="auto"/>
              <w:bottom w:val="single" w:sz="4" w:space="0" w:color="auto"/>
            </w:tcBorders>
          </w:tcPr>
          <w:p w14:paraId="04F9004A" w14:textId="4C1F0435" w:rsidR="009F0332" w:rsidRDefault="009F0332">
            <w:pPr>
              <w:pStyle w:val="EarlierRepubEntries"/>
            </w:pPr>
            <w:r>
              <w:t>R4</w:t>
            </w:r>
            <w:r>
              <w:br/>
              <w:t>9 Dec 2022</w:t>
            </w:r>
          </w:p>
        </w:tc>
        <w:tc>
          <w:tcPr>
            <w:tcW w:w="1681" w:type="dxa"/>
            <w:tcBorders>
              <w:top w:val="single" w:sz="4" w:space="0" w:color="auto"/>
              <w:bottom w:val="single" w:sz="4" w:space="0" w:color="auto"/>
            </w:tcBorders>
          </w:tcPr>
          <w:p w14:paraId="5F8CDD17" w14:textId="77C8C9CE" w:rsidR="009F0332" w:rsidRDefault="009F0332">
            <w:pPr>
              <w:pStyle w:val="EarlierRepubEntries"/>
            </w:pPr>
            <w:r>
              <w:t>9 Dec 2022–</w:t>
            </w:r>
            <w:r>
              <w:br/>
              <w:t>14 Dec 2023</w:t>
            </w:r>
          </w:p>
        </w:tc>
        <w:tc>
          <w:tcPr>
            <w:tcW w:w="1783" w:type="dxa"/>
            <w:tcBorders>
              <w:top w:val="single" w:sz="4" w:space="0" w:color="auto"/>
              <w:bottom w:val="single" w:sz="4" w:space="0" w:color="auto"/>
            </w:tcBorders>
          </w:tcPr>
          <w:p w14:paraId="3A0A9CC3" w14:textId="5C1A82A4" w:rsidR="009F0332" w:rsidRDefault="009F0332">
            <w:pPr>
              <w:pStyle w:val="EarlierRepubEntries"/>
            </w:pPr>
            <w:hyperlink r:id="rId125" w:tooltip="Motor Accident Injuries (Premiums and Administration) Amendment Regulation 2022 (No 1)" w:history="1">
              <w:r>
                <w:rPr>
                  <w:rStyle w:val="charCitHyperlinkAbbrev"/>
                </w:rPr>
                <w:t>SL2022-18</w:t>
              </w:r>
            </w:hyperlink>
          </w:p>
        </w:tc>
        <w:tc>
          <w:tcPr>
            <w:tcW w:w="1783" w:type="dxa"/>
            <w:tcBorders>
              <w:top w:val="single" w:sz="4" w:space="0" w:color="auto"/>
              <w:bottom w:val="single" w:sz="4" w:space="0" w:color="auto"/>
            </w:tcBorders>
          </w:tcPr>
          <w:p w14:paraId="442CC3C6" w14:textId="65F58DD1" w:rsidR="009F0332" w:rsidRPr="00C47876" w:rsidRDefault="009F0332">
            <w:pPr>
              <w:pStyle w:val="EarlierRepubEntries"/>
            </w:pPr>
            <w:r>
              <w:t xml:space="preserve">amendments by </w:t>
            </w:r>
            <w:hyperlink r:id="rId126" w:tooltip="Motor Accident Injuries (Premiums and Administration) Amendment Regulation 2022 (No 1)" w:history="1">
              <w:r>
                <w:rPr>
                  <w:rStyle w:val="charCitHyperlinkAbbrev"/>
                </w:rPr>
                <w:t>SL2022-18</w:t>
              </w:r>
            </w:hyperlink>
          </w:p>
        </w:tc>
      </w:tr>
    </w:tbl>
    <w:p w14:paraId="56BF4CC0" w14:textId="77777777" w:rsidR="0008376A" w:rsidRDefault="0008376A" w:rsidP="007B3882">
      <w:pPr>
        <w:pStyle w:val="05EndNote"/>
        <w:sectPr w:rsidR="0008376A" w:rsidSect="009F0332">
          <w:headerReference w:type="even" r:id="rId127"/>
          <w:headerReference w:type="default" r:id="rId128"/>
          <w:footerReference w:type="even" r:id="rId129"/>
          <w:footerReference w:type="default" r:id="rId130"/>
          <w:pgSz w:w="11907" w:h="16839" w:code="9"/>
          <w:pgMar w:top="3000" w:right="1900" w:bottom="2500" w:left="2300" w:header="2480" w:footer="2100" w:gutter="0"/>
          <w:cols w:space="720"/>
          <w:docGrid w:linePitch="326"/>
        </w:sectPr>
      </w:pPr>
    </w:p>
    <w:p w14:paraId="29FA9F9A" w14:textId="77777777" w:rsidR="00E531CF" w:rsidRDefault="00E531CF"/>
    <w:p w14:paraId="0EC9B210" w14:textId="77777777" w:rsidR="00E531CF" w:rsidRDefault="00E531CF"/>
    <w:p w14:paraId="6AC0BE7E" w14:textId="77777777" w:rsidR="00E531CF" w:rsidRDefault="00E531CF"/>
    <w:p w14:paraId="0BF70AFA" w14:textId="77777777" w:rsidR="00E531CF" w:rsidRDefault="00E531CF">
      <w:pPr>
        <w:rPr>
          <w:color w:val="000000"/>
          <w:sz w:val="22"/>
        </w:rPr>
      </w:pPr>
    </w:p>
    <w:p w14:paraId="1F6CCF25" w14:textId="1650304D" w:rsidR="00E531CF" w:rsidRDefault="00E531CF">
      <w:pPr>
        <w:rPr>
          <w:color w:val="000000"/>
          <w:sz w:val="22"/>
        </w:rPr>
      </w:pPr>
    </w:p>
    <w:p w14:paraId="1D59C248" w14:textId="6891DFCE" w:rsidR="00DF60B8" w:rsidRDefault="00DF60B8">
      <w:pPr>
        <w:rPr>
          <w:color w:val="000000"/>
          <w:sz w:val="22"/>
        </w:rPr>
      </w:pPr>
    </w:p>
    <w:p w14:paraId="3F43C005" w14:textId="409B03CC" w:rsidR="00DF60B8" w:rsidRDefault="00DF60B8">
      <w:pPr>
        <w:rPr>
          <w:color w:val="000000"/>
          <w:sz w:val="22"/>
        </w:rPr>
      </w:pPr>
    </w:p>
    <w:p w14:paraId="15ED8606" w14:textId="0B9E931B" w:rsidR="00DF60B8" w:rsidRDefault="00DF60B8">
      <w:pPr>
        <w:rPr>
          <w:color w:val="000000"/>
          <w:sz w:val="22"/>
        </w:rPr>
      </w:pPr>
    </w:p>
    <w:p w14:paraId="5D7E272F" w14:textId="0A156C53" w:rsidR="00DF60B8" w:rsidRDefault="00DF60B8">
      <w:pPr>
        <w:rPr>
          <w:color w:val="000000"/>
          <w:sz w:val="22"/>
        </w:rPr>
      </w:pPr>
    </w:p>
    <w:p w14:paraId="72E9725B" w14:textId="006CAE57" w:rsidR="00DF60B8" w:rsidRDefault="00DF60B8">
      <w:pPr>
        <w:rPr>
          <w:color w:val="000000"/>
          <w:sz w:val="22"/>
        </w:rPr>
      </w:pPr>
    </w:p>
    <w:p w14:paraId="6468DE79" w14:textId="77777777" w:rsidR="00DF60B8" w:rsidRDefault="00DF60B8">
      <w:pPr>
        <w:rPr>
          <w:color w:val="000000"/>
          <w:sz w:val="22"/>
        </w:rPr>
      </w:pPr>
    </w:p>
    <w:p w14:paraId="1C3CC865" w14:textId="0229C73A" w:rsidR="00E531CF" w:rsidRDefault="00E531CF">
      <w:pPr>
        <w:rPr>
          <w:color w:val="000000"/>
          <w:sz w:val="22"/>
        </w:rPr>
      </w:pPr>
      <w:r>
        <w:rPr>
          <w:color w:val="000000"/>
          <w:sz w:val="22"/>
        </w:rPr>
        <w:t xml:space="preserve">©  Australian Capital Territory </w:t>
      </w:r>
      <w:r w:rsidR="009F0332">
        <w:rPr>
          <w:noProof/>
          <w:color w:val="000000"/>
          <w:sz w:val="22"/>
        </w:rPr>
        <w:t>2023</w:t>
      </w:r>
    </w:p>
    <w:p w14:paraId="62E080CA" w14:textId="77777777" w:rsidR="00E531CF" w:rsidRDefault="00E531CF"/>
    <w:p w14:paraId="59B9A4C4" w14:textId="77777777" w:rsidR="00E531CF" w:rsidRDefault="00E531CF">
      <w:pPr>
        <w:pStyle w:val="06Copyright"/>
        <w:sectPr w:rsidR="00E531CF" w:rsidSect="00E531CF">
          <w:headerReference w:type="even" r:id="rId131"/>
          <w:headerReference w:type="default" r:id="rId132"/>
          <w:footerReference w:type="even" r:id="rId133"/>
          <w:footerReference w:type="default" r:id="rId134"/>
          <w:headerReference w:type="first" r:id="rId135"/>
          <w:footerReference w:type="first" r:id="rId136"/>
          <w:type w:val="continuous"/>
          <w:pgSz w:w="11907" w:h="16839" w:code="9"/>
          <w:pgMar w:top="3000" w:right="1900" w:bottom="2500" w:left="2300" w:header="2480" w:footer="2100" w:gutter="0"/>
          <w:pgNumType w:fmt="lowerRoman"/>
          <w:cols w:space="720"/>
          <w:titlePg/>
          <w:docGrid w:linePitch="326"/>
        </w:sectPr>
      </w:pPr>
    </w:p>
    <w:p w14:paraId="0D313C33" w14:textId="2F89DD3C" w:rsidR="0040482C" w:rsidRDefault="0040482C" w:rsidP="00E531CF"/>
    <w:sectPr w:rsidR="0040482C" w:rsidSect="00E531CF">
      <w:headerReference w:type="even" r:id="rId13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D75B" w14:textId="77777777" w:rsidR="005F1275" w:rsidRDefault="005F1275">
      <w:r>
        <w:separator/>
      </w:r>
    </w:p>
  </w:endnote>
  <w:endnote w:type="continuationSeparator" w:id="0">
    <w:p w14:paraId="13A2EC70" w14:textId="77777777" w:rsidR="005F1275" w:rsidRDefault="005F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23B0" w14:textId="0EC94691" w:rsidR="00AF7F76" w:rsidRPr="00A973EB" w:rsidRDefault="00A973EB" w:rsidP="00A973EB">
    <w:pPr>
      <w:pStyle w:val="Footer"/>
      <w:jc w:val="center"/>
      <w:rPr>
        <w:rFonts w:cs="Arial"/>
        <w:sz w:val="14"/>
      </w:rPr>
    </w:pPr>
    <w:r w:rsidRPr="00A973E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949C"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76A" w:rsidRPr="00CB3D59" w14:paraId="4F05D0DF" w14:textId="77777777">
      <w:tc>
        <w:tcPr>
          <w:tcW w:w="847" w:type="pct"/>
        </w:tcPr>
        <w:p w14:paraId="3DA50781" w14:textId="77777777" w:rsidR="0008376A" w:rsidRPr="00A752AE" w:rsidRDefault="0008376A"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F1DA9D0" w14:textId="69E07EA2" w:rsidR="0008376A" w:rsidRPr="00A752AE" w:rsidRDefault="0008376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3B8A" w:rsidRPr="005F3B8A">
            <w:rPr>
              <w:rFonts w:cs="Arial"/>
              <w:szCs w:val="18"/>
            </w:rPr>
            <w:t>Motor Accident Injuries (</w:t>
          </w:r>
          <w:r w:rsidR="005F3B8A">
            <w:t>Premiums and Administration) Regulation 2019</w:t>
          </w:r>
          <w:r>
            <w:rPr>
              <w:rFonts w:cs="Arial"/>
              <w:szCs w:val="18"/>
            </w:rPr>
            <w:fldChar w:fldCharType="end"/>
          </w:r>
        </w:p>
        <w:p w14:paraId="30089B7B" w14:textId="71B1FCD2" w:rsidR="0008376A" w:rsidRPr="00A752AE" w:rsidRDefault="0008376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F3B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F3B8A">
            <w:rPr>
              <w:rFonts w:cs="Arial"/>
              <w:szCs w:val="18"/>
            </w:rPr>
            <w:t>15/12/23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F3B8A">
            <w:rPr>
              <w:rFonts w:cs="Arial"/>
              <w:szCs w:val="18"/>
            </w:rPr>
            <w:t>-15/05/25</w:t>
          </w:r>
          <w:r w:rsidRPr="00A752AE">
            <w:rPr>
              <w:rFonts w:cs="Arial"/>
              <w:szCs w:val="18"/>
            </w:rPr>
            <w:fldChar w:fldCharType="end"/>
          </w:r>
        </w:p>
      </w:tc>
      <w:tc>
        <w:tcPr>
          <w:tcW w:w="1061" w:type="pct"/>
        </w:tcPr>
        <w:p w14:paraId="55418E88" w14:textId="1ECE2BE1" w:rsidR="0008376A" w:rsidRPr="00A752AE" w:rsidRDefault="0008376A"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F3B8A">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F3B8A">
            <w:rPr>
              <w:rFonts w:cs="Arial"/>
              <w:szCs w:val="18"/>
            </w:rPr>
            <w:t>15/12/23</w:t>
          </w:r>
          <w:r w:rsidRPr="00A752AE">
            <w:rPr>
              <w:rFonts w:cs="Arial"/>
              <w:szCs w:val="18"/>
            </w:rPr>
            <w:fldChar w:fldCharType="end"/>
          </w:r>
        </w:p>
      </w:tc>
    </w:tr>
  </w:tbl>
  <w:p w14:paraId="2D2AD035" w14:textId="7635A7BF"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F8D1" w14:textId="77777777" w:rsidR="0008376A" w:rsidRDefault="000837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76A" w:rsidRPr="00CB3D59" w14:paraId="6F57080E" w14:textId="77777777">
      <w:tc>
        <w:tcPr>
          <w:tcW w:w="1061" w:type="pct"/>
        </w:tcPr>
        <w:p w14:paraId="0980474A" w14:textId="35286198" w:rsidR="0008376A" w:rsidRPr="00A752AE" w:rsidRDefault="0008376A"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5F3B8A">
            <w:rPr>
              <w:rFonts w:cs="Arial"/>
              <w:szCs w:val="18"/>
            </w:rPr>
            <w:t>R5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5F3B8A">
            <w:rPr>
              <w:rFonts w:cs="Arial"/>
              <w:szCs w:val="18"/>
            </w:rPr>
            <w:t>15/12/23</w:t>
          </w:r>
          <w:r w:rsidRPr="00A752AE">
            <w:rPr>
              <w:rFonts w:cs="Arial"/>
              <w:szCs w:val="18"/>
            </w:rPr>
            <w:fldChar w:fldCharType="end"/>
          </w:r>
        </w:p>
      </w:tc>
      <w:tc>
        <w:tcPr>
          <w:tcW w:w="3092" w:type="pct"/>
        </w:tcPr>
        <w:p w14:paraId="193BA1CD" w14:textId="36D44768" w:rsidR="0008376A" w:rsidRPr="00A752AE" w:rsidRDefault="0008376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3B8A" w:rsidRPr="005F3B8A">
            <w:rPr>
              <w:rFonts w:cs="Arial"/>
              <w:szCs w:val="18"/>
            </w:rPr>
            <w:t>Motor Accident Injuries (</w:t>
          </w:r>
          <w:r w:rsidR="005F3B8A">
            <w:t>Premiums and Administration) Regulation 2019</w:t>
          </w:r>
          <w:r>
            <w:rPr>
              <w:rFonts w:cs="Arial"/>
              <w:szCs w:val="18"/>
            </w:rPr>
            <w:fldChar w:fldCharType="end"/>
          </w:r>
        </w:p>
        <w:p w14:paraId="1FBAE6A1" w14:textId="7CE2D315" w:rsidR="0008376A" w:rsidRPr="00A752AE" w:rsidRDefault="0008376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5F3B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5F3B8A">
            <w:rPr>
              <w:rFonts w:cs="Arial"/>
              <w:szCs w:val="18"/>
            </w:rPr>
            <w:t>15/12/23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5F3B8A">
            <w:rPr>
              <w:rFonts w:cs="Arial"/>
              <w:szCs w:val="18"/>
            </w:rPr>
            <w:t>-15/05/25</w:t>
          </w:r>
          <w:r w:rsidRPr="00A752AE">
            <w:rPr>
              <w:rFonts w:cs="Arial"/>
              <w:szCs w:val="18"/>
            </w:rPr>
            <w:fldChar w:fldCharType="end"/>
          </w:r>
        </w:p>
      </w:tc>
      <w:tc>
        <w:tcPr>
          <w:tcW w:w="847" w:type="pct"/>
        </w:tcPr>
        <w:p w14:paraId="602E67F5" w14:textId="77777777" w:rsidR="0008376A" w:rsidRPr="00A752AE" w:rsidRDefault="0008376A"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8DCEA0F" w14:textId="7E0A8FA5"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D45C"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76A" w:rsidRPr="00CB3D59" w14:paraId="725EC9E9" w14:textId="77777777">
      <w:tc>
        <w:tcPr>
          <w:tcW w:w="847" w:type="pct"/>
        </w:tcPr>
        <w:p w14:paraId="078CB38E" w14:textId="77777777" w:rsidR="0008376A" w:rsidRPr="00F02A14" w:rsidRDefault="0008376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BD0F1CE" w14:textId="78219674" w:rsidR="0008376A" w:rsidRPr="00F02A14" w:rsidRDefault="0008376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3B8A" w:rsidRPr="005F3B8A">
            <w:rPr>
              <w:rFonts w:cs="Arial"/>
              <w:szCs w:val="18"/>
            </w:rPr>
            <w:t>Motor Accident Injuries (</w:t>
          </w:r>
          <w:r w:rsidR="005F3B8A">
            <w:t>Premiums and Administration) Regulation 2019</w:t>
          </w:r>
          <w:r>
            <w:rPr>
              <w:rFonts w:cs="Arial"/>
              <w:szCs w:val="18"/>
            </w:rPr>
            <w:fldChar w:fldCharType="end"/>
          </w:r>
        </w:p>
        <w:p w14:paraId="59D92D8C" w14:textId="4B8791F2" w:rsidR="0008376A" w:rsidRPr="00F02A14" w:rsidRDefault="0008376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F3B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F3B8A">
            <w:rPr>
              <w:rFonts w:cs="Arial"/>
              <w:szCs w:val="18"/>
            </w:rPr>
            <w:t>15/12/23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F3B8A">
            <w:rPr>
              <w:rFonts w:cs="Arial"/>
              <w:szCs w:val="18"/>
            </w:rPr>
            <w:t>-15/05/25</w:t>
          </w:r>
          <w:r w:rsidRPr="00F02A14">
            <w:rPr>
              <w:rFonts w:cs="Arial"/>
              <w:szCs w:val="18"/>
            </w:rPr>
            <w:fldChar w:fldCharType="end"/>
          </w:r>
        </w:p>
      </w:tc>
      <w:tc>
        <w:tcPr>
          <w:tcW w:w="1061" w:type="pct"/>
        </w:tcPr>
        <w:p w14:paraId="7BB53929" w14:textId="00318725" w:rsidR="0008376A" w:rsidRPr="00F02A14" w:rsidRDefault="0008376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F3B8A">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F3B8A">
            <w:rPr>
              <w:rFonts w:cs="Arial"/>
              <w:szCs w:val="18"/>
            </w:rPr>
            <w:t>15/12/23</w:t>
          </w:r>
          <w:r w:rsidRPr="00F02A14">
            <w:rPr>
              <w:rFonts w:cs="Arial"/>
              <w:szCs w:val="18"/>
            </w:rPr>
            <w:fldChar w:fldCharType="end"/>
          </w:r>
        </w:p>
      </w:tc>
    </w:tr>
  </w:tbl>
  <w:p w14:paraId="3974DEC4" w14:textId="2A9DE7BE"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A40D" w14:textId="77777777" w:rsidR="0008376A" w:rsidRDefault="000837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76A" w:rsidRPr="00CB3D59" w14:paraId="752D6EC3" w14:textId="77777777">
      <w:tc>
        <w:tcPr>
          <w:tcW w:w="1061" w:type="pct"/>
        </w:tcPr>
        <w:p w14:paraId="2B016E80" w14:textId="60982579" w:rsidR="0008376A" w:rsidRPr="00F02A14" w:rsidRDefault="0008376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F3B8A">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F3B8A">
            <w:rPr>
              <w:rFonts w:cs="Arial"/>
              <w:szCs w:val="18"/>
            </w:rPr>
            <w:t>15/12/23</w:t>
          </w:r>
          <w:r w:rsidRPr="00F02A14">
            <w:rPr>
              <w:rFonts w:cs="Arial"/>
              <w:szCs w:val="18"/>
            </w:rPr>
            <w:fldChar w:fldCharType="end"/>
          </w:r>
        </w:p>
      </w:tc>
      <w:tc>
        <w:tcPr>
          <w:tcW w:w="3092" w:type="pct"/>
        </w:tcPr>
        <w:p w14:paraId="70F8EDED" w14:textId="397EA01F" w:rsidR="0008376A" w:rsidRPr="00F02A14" w:rsidRDefault="0008376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F3B8A" w:rsidRPr="005F3B8A">
            <w:rPr>
              <w:rFonts w:cs="Arial"/>
              <w:szCs w:val="18"/>
            </w:rPr>
            <w:t>Motor Accident Injuries (</w:t>
          </w:r>
          <w:r w:rsidR="005F3B8A">
            <w:t>Premiums and Administration) Regulation 2019</w:t>
          </w:r>
          <w:r>
            <w:rPr>
              <w:rFonts w:cs="Arial"/>
              <w:szCs w:val="18"/>
            </w:rPr>
            <w:fldChar w:fldCharType="end"/>
          </w:r>
        </w:p>
        <w:p w14:paraId="18CC9D9A" w14:textId="423E8CF9" w:rsidR="0008376A" w:rsidRPr="00F02A14" w:rsidRDefault="0008376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F3B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F3B8A">
            <w:rPr>
              <w:rFonts w:cs="Arial"/>
              <w:szCs w:val="18"/>
            </w:rPr>
            <w:t>15/12/23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F3B8A">
            <w:rPr>
              <w:rFonts w:cs="Arial"/>
              <w:szCs w:val="18"/>
            </w:rPr>
            <w:t>-15/05/25</w:t>
          </w:r>
          <w:r w:rsidRPr="00F02A14">
            <w:rPr>
              <w:rFonts w:cs="Arial"/>
              <w:szCs w:val="18"/>
            </w:rPr>
            <w:fldChar w:fldCharType="end"/>
          </w:r>
        </w:p>
      </w:tc>
      <w:tc>
        <w:tcPr>
          <w:tcW w:w="847" w:type="pct"/>
        </w:tcPr>
        <w:p w14:paraId="7CC6E433" w14:textId="77777777" w:rsidR="0008376A" w:rsidRPr="00F02A14" w:rsidRDefault="0008376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AFF20F4" w14:textId="03713F81"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ADC1"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76A" w14:paraId="55680ACF" w14:textId="77777777">
      <w:tc>
        <w:tcPr>
          <w:tcW w:w="847" w:type="pct"/>
        </w:tcPr>
        <w:p w14:paraId="4E2799DB" w14:textId="77777777" w:rsidR="0008376A" w:rsidRDefault="000837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046511B" w14:textId="37F29611"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04A25DE4" w14:textId="762C6E60"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1061" w:type="pct"/>
        </w:tcPr>
        <w:p w14:paraId="63F8A893" w14:textId="337A5099" w:rsidR="0008376A" w:rsidRDefault="00A973EB">
          <w:pPr>
            <w:pStyle w:val="Footer"/>
            <w:jc w:val="right"/>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r>
  </w:tbl>
  <w:p w14:paraId="13738743" w14:textId="0573BE59"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94A7" w14:textId="77777777" w:rsidR="0008376A" w:rsidRDefault="000837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76A" w14:paraId="0C50E9D9" w14:textId="77777777">
      <w:tc>
        <w:tcPr>
          <w:tcW w:w="1061" w:type="pct"/>
        </w:tcPr>
        <w:p w14:paraId="593A91A0" w14:textId="1D507349" w:rsidR="0008376A" w:rsidRDefault="00A973EB">
          <w:pPr>
            <w:pStyle w:val="Footer"/>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c>
        <w:tcPr>
          <w:tcW w:w="3092" w:type="pct"/>
        </w:tcPr>
        <w:p w14:paraId="36F1817D" w14:textId="6F9E66F7"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6A01747F" w14:textId="123D8510"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847" w:type="pct"/>
        </w:tcPr>
        <w:p w14:paraId="54DF0F0B" w14:textId="77777777" w:rsidR="0008376A" w:rsidRDefault="000837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727DCF0" w14:textId="59B164C5"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9893"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76A" w14:paraId="2F092627" w14:textId="77777777">
      <w:tc>
        <w:tcPr>
          <w:tcW w:w="847" w:type="pct"/>
        </w:tcPr>
        <w:p w14:paraId="7ABE1A70" w14:textId="77777777" w:rsidR="0008376A" w:rsidRDefault="000837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A092F20" w14:textId="64FA3DD0"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7D61C2F3" w14:textId="40544FBD"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1061" w:type="pct"/>
        </w:tcPr>
        <w:p w14:paraId="2A80ECCC" w14:textId="78456F8C" w:rsidR="0008376A" w:rsidRDefault="00A973EB">
          <w:pPr>
            <w:pStyle w:val="Footer"/>
            <w:jc w:val="right"/>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r>
  </w:tbl>
  <w:p w14:paraId="0D096A0E" w14:textId="4FE09591"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67A" w14:textId="77777777" w:rsidR="0008376A" w:rsidRDefault="000837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76A" w14:paraId="4447611A" w14:textId="77777777">
      <w:tc>
        <w:tcPr>
          <w:tcW w:w="1061" w:type="pct"/>
        </w:tcPr>
        <w:p w14:paraId="56AC803A" w14:textId="70DF41C3" w:rsidR="0008376A" w:rsidRDefault="00A973EB">
          <w:pPr>
            <w:pStyle w:val="Footer"/>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c>
        <w:tcPr>
          <w:tcW w:w="3092" w:type="pct"/>
        </w:tcPr>
        <w:p w14:paraId="32C01F37" w14:textId="7A30C4CF"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0F7A5B46" w14:textId="6305CC6B"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847" w:type="pct"/>
        </w:tcPr>
        <w:p w14:paraId="640C3B2F" w14:textId="77777777" w:rsidR="0008376A" w:rsidRDefault="000837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164F2EC" w14:textId="445A1B92"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501C" w14:textId="043B94B5" w:rsidR="009917C6" w:rsidRPr="00A973EB" w:rsidRDefault="00A973EB" w:rsidP="00A973EB">
    <w:pPr>
      <w:pStyle w:val="Footer"/>
      <w:jc w:val="center"/>
      <w:rPr>
        <w:rFonts w:cs="Arial"/>
        <w:sz w:val="14"/>
      </w:rPr>
    </w:pPr>
    <w:r w:rsidRPr="00A973E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BC97" w14:textId="49B3727A" w:rsidR="009917C6" w:rsidRPr="00A973EB" w:rsidRDefault="009917C6" w:rsidP="00A973EB">
    <w:pPr>
      <w:pStyle w:val="Footer"/>
      <w:jc w:val="center"/>
      <w:rPr>
        <w:rFonts w:cs="Arial"/>
        <w:sz w:val="14"/>
      </w:rPr>
    </w:pPr>
    <w:r w:rsidRPr="00A973EB">
      <w:rPr>
        <w:rFonts w:cs="Arial"/>
        <w:sz w:val="14"/>
      </w:rPr>
      <w:fldChar w:fldCharType="begin"/>
    </w:r>
    <w:r w:rsidRPr="00A973EB">
      <w:rPr>
        <w:rFonts w:cs="Arial"/>
        <w:sz w:val="14"/>
      </w:rPr>
      <w:instrText xml:space="preserve"> COMMENTS  \* MERGEFORMAT </w:instrText>
    </w:r>
    <w:r w:rsidRPr="00A973EB">
      <w:rPr>
        <w:rFonts w:cs="Arial"/>
        <w:sz w:val="14"/>
      </w:rPr>
      <w:fldChar w:fldCharType="end"/>
    </w:r>
    <w:r w:rsidR="00A973EB" w:rsidRPr="00A973E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0C12" w14:textId="1822EC20" w:rsidR="009917C6" w:rsidRPr="00A973EB" w:rsidRDefault="009917C6" w:rsidP="00A973EB">
    <w:pPr>
      <w:pStyle w:val="Footer"/>
      <w:jc w:val="center"/>
      <w:rPr>
        <w:rFonts w:cs="Arial"/>
        <w:sz w:val="14"/>
      </w:rPr>
    </w:pPr>
    <w:r w:rsidRPr="00A973EB">
      <w:rPr>
        <w:rFonts w:cs="Arial"/>
        <w:sz w:val="14"/>
      </w:rPr>
      <w:fldChar w:fldCharType="begin"/>
    </w:r>
    <w:r w:rsidRPr="00A973EB">
      <w:rPr>
        <w:rFonts w:cs="Arial"/>
        <w:sz w:val="14"/>
      </w:rPr>
      <w:instrText xml:space="preserve"> DOCPROPERTY "Status" </w:instrText>
    </w:r>
    <w:r w:rsidRPr="00A973EB">
      <w:rPr>
        <w:rFonts w:cs="Arial"/>
        <w:sz w:val="14"/>
      </w:rPr>
      <w:fldChar w:fldCharType="separate"/>
    </w:r>
    <w:r w:rsidR="005F3B8A" w:rsidRPr="00A973EB">
      <w:rPr>
        <w:rFonts w:cs="Arial"/>
        <w:sz w:val="14"/>
      </w:rPr>
      <w:t xml:space="preserve"> </w:t>
    </w:r>
    <w:r w:rsidRPr="00A973EB">
      <w:rPr>
        <w:rFonts w:cs="Arial"/>
        <w:sz w:val="14"/>
      </w:rPr>
      <w:fldChar w:fldCharType="end"/>
    </w:r>
    <w:r w:rsidRPr="00A973EB">
      <w:rPr>
        <w:rFonts w:cs="Arial"/>
        <w:sz w:val="14"/>
      </w:rPr>
      <w:fldChar w:fldCharType="begin"/>
    </w:r>
    <w:r w:rsidRPr="00A973EB">
      <w:rPr>
        <w:rFonts w:cs="Arial"/>
        <w:sz w:val="14"/>
      </w:rPr>
      <w:instrText xml:space="preserve"> COMMENTS  \* MERGEFORMAT </w:instrText>
    </w:r>
    <w:r w:rsidRPr="00A973EB">
      <w:rPr>
        <w:rFonts w:cs="Arial"/>
        <w:sz w:val="14"/>
      </w:rPr>
      <w:fldChar w:fldCharType="end"/>
    </w:r>
    <w:r w:rsidR="00A973EB" w:rsidRPr="00A973E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55B" w14:textId="75D6BA3B" w:rsidR="009917C6" w:rsidRPr="00A973EB" w:rsidRDefault="00A973EB" w:rsidP="00A973EB">
    <w:pPr>
      <w:pStyle w:val="Footer"/>
      <w:jc w:val="center"/>
      <w:rPr>
        <w:rFonts w:cs="Arial"/>
        <w:sz w:val="14"/>
      </w:rPr>
    </w:pPr>
    <w:r w:rsidRPr="00A973E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3E" w14:textId="2A1C3B7D" w:rsidR="00AF7F76" w:rsidRPr="00A973EB" w:rsidRDefault="00A973EB" w:rsidP="00A973EB">
    <w:pPr>
      <w:pStyle w:val="Footer"/>
      <w:jc w:val="center"/>
      <w:rPr>
        <w:rFonts w:cs="Arial"/>
        <w:sz w:val="14"/>
      </w:rPr>
    </w:pPr>
    <w:r w:rsidRPr="00A973E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F900" w14:textId="77777777" w:rsidR="00CF52D3" w:rsidRDefault="00CF52D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52D3" w14:paraId="221119C6" w14:textId="77777777">
      <w:tc>
        <w:tcPr>
          <w:tcW w:w="846" w:type="pct"/>
        </w:tcPr>
        <w:p w14:paraId="5E6A5F66" w14:textId="77777777" w:rsidR="00CF52D3" w:rsidRDefault="00CF52D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1DAA333" w14:textId="30D28997" w:rsidR="00CF52D3"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2BB39885" w14:textId="772941DB" w:rsidR="00CF52D3" w:rsidRDefault="00A973EB">
          <w:pPr>
            <w:pStyle w:val="FooterInfoCentre"/>
          </w:pPr>
          <w:r>
            <w:fldChar w:fldCharType="begin"/>
          </w:r>
          <w:r>
            <w:instrText xml:space="preserve"> DOCPROPERTY "Eff"  </w:instrText>
          </w:r>
          <w:r>
            <w:fldChar w:fldCharType="separate"/>
          </w:r>
          <w:r w:rsidR="005F3B8A">
            <w:t xml:space="preserve">Effective:  </w:t>
          </w:r>
          <w:r>
            <w:fldChar w:fldCharType="end"/>
          </w:r>
          <w:r>
            <w:fldChar w:fldCharType="begin"/>
          </w:r>
          <w:r>
            <w:instrText xml:space="preserve"> DOCPROPERTY "StartDt"   </w:instrText>
          </w:r>
          <w:r>
            <w:fldChar w:fldCharType="separate"/>
          </w:r>
          <w:r w:rsidR="005F3B8A">
            <w:t>15/12/23</w:t>
          </w:r>
          <w:r>
            <w:fldChar w:fldCharType="end"/>
          </w:r>
          <w:r>
            <w:fldChar w:fldCharType="begin"/>
          </w:r>
          <w:r>
            <w:instrText xml:space="preserve"> DOCPROPERTY "EndDt"  </w:instrText>
          </w:r>
          <w:r>
            <w:fldChar w:fldCharType="separate"/>
          </w:r>
          <w:r w:rsidR="005F3B8A">
            <w:t>-15/05/25</w:t>
          </w:r>
          <w:r>
            <w:fldChar w:fldCharType="end"/>
          </w:r>
        </w:p>
      </w:tc>
      <w:tc>
        <w:tcPr>
          <w:tcW w:w="1061" w:type="pct"/>
        </w:tcPr>
        <w:p w14:paraId="23EEFA9D" w14:textId="77B2853B" w:rsidR="00CF52D3" w:rsidRDefault="00A973EB">
          <w:pPr>
            <w:pStyle w:val="Footer"/>
            <w:jc w:val="right"/>
          </w:pPr>
          <w:r>
            <w:fldChar w:fldCharType="begin"/>
          </w:r>
          <w:r>
            <w:instrText xml:space="preserve"> DOCPROPERTY "Category"  </w:instrText>
          </w:r>
          <w:r>
            <w:fldChar w:fldCharType="separate"/>
          </w:r>
          <w:r w:rsidR="005F3B8A">
            <w:t>R5</w:t>
          </w:r>
          <w:r>
            <w:fldChar w:fldCharType="end"/>
          </w:r>
          <w:r w:rsidR="00CF52D3">
            <w:br/>
          </w:r>
          <w:r>
            <w:fldChar w:fldCharType="begin"/>
          </w:r>
          <w:r>
            <w:instrText xml:space="preserve"> DOCPROPERTY "RepubDt"  </w:instrText>
          </w:r>
          <w:r>
            <w:fldChar w:fldCharType="separate"/>
          </w:r>
          <w:r w:rsidR="005F3B8A">
            <w:t>15/12/23</w:t>
          </w:r>
          <w:r>
            <w:fldChar w:fldCharType="end"/>
          </w:r>
        </w:p>
      </w:tc>
    </w:tr>
  </w:tbl>
  <w:p w14:paraId="05169860" w14:textId="35018CEE" w:rsidR="00CF52D3"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460D" w14:textId="77777777" w:rsidR="00CF52D3" w:rsidRDefault="00CF52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52D3" w14:paraId="3A5E76EB" w14:textId="77777777">
      <w:tc>
        <w:tcPr>
          <w:tcW w:w="1061" w:type="pct"/>
        </w:tcPr>
        <w:p w14:paraId="7B5D22F5" w14:textId="12B6F6E7" w:rsidR="00CF52D3" w:rsidRDefault="00A973EB">
          <w:pPr>
            <w:pStyle w:val="Footer"/>
          </w:pPr>
          <w:r>
            <w:fldChar w:fldCharType="begin"/>
          </w:r>
          <w:r>
            <w:instrText xml:space="preserve"> DOCPROPERTY "Category"  </w:instrText>
          </w:r>
          <w:r>
            <w:fldChar w:fldCharType="separate"/>
          </w:r>
          <w:r w:rsidR="005F3B8A">
            <w:t>R5</w:t>
          </w:r>
          <w:r>
            <w:fldChar w:fldCharType="end"/>
          </w:r>
          <w:r w:rsidR="00CF52D3">
            <w:br/>
          </w:r>
          <w:r>
            <w:fldChar w:fldCharType="begin"/>
          </w:r>
          <w:r>
            <w:instrText xml:space="preserve"> DOCPROPERTY "RepubDt"  </w:instrText>
          </w:r>
          <w:r>
            <w:fldChar w:fldCharType="separate"/>
          </w:r>
          <w:r w:rsidR="005F3B8A">
            <w:t>15/12/23</w:t>
          </w:r>
          <w:r>
            <w:fldChar w:fldCharType="end"/>
          </w:r>
        </w:p>
      </w:tc>
      <w:tc>
        <w:tcPr>
          <w:tcW w:w="3093" w:type="pct"/>
        </w:tcPr>
        <w:p w14:paraId="3F1300B9" w14:textId="6D43B299" w:rsidR="00CF52D3"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570F8C74" w14:textId="6A67C51D" w:rsidR="00CF52D3" w:rsidRDefault="00A973EB">
          <w:pPr>
            <w:pStyle w:val="FooterInfoCentre"/>
          </w:pPr>
          <w:r>
            <w:fldChar w:fldCharType="begin"/>
          </w:r>
          <w:r>
            <w:instrText xml:space="preserve"> DOCPROPERTY "Eff"  </w:instrText>
          </w:r>
          <w:r>
            <w:fldChar w:fldCharType="separate"/>
          </w:r>
          <w:r w:rsidR="005F3B8A">
            <w:t xml:space="preserve">Effective:  </w:t>
          </w:r>
          <w:r>
            <w:fldChar w:fldCharType="end"/>
          </w:r>
          <w:r>
            <w:fldChar w:fldCharType="begin"/>
          </w:r>
          <w:r>
            <w:instrText xml:space="preserve"> DOCPROPERTY "StartDt"  </w:instrText>
          </w:r>
          <w:r>
            <w:fldChar w:fldCharType="separate"/>
          </w:r>
          <w:r w:rsidR="005F3B8A">
            <w:t>15/12/23</w:t>
          </w:r>
          <w:r>
            <w:fldChar w:fldCharType="end"/>
          </w:r>
          <w:r>
            <w:fldChar w:fldCharType="begin"/>
          </w:r>
          <w:r>
            <w:instrText xml:space="preserve"> DOCPROPERTY "EndDt"  </w:instrText>
          </w:r>
          <w:r>
            <w:fldChar w:fldCharType="separate"/>
          </w:r>
          <w:r w:rsidR="005F3B8A">
            <w:t>-15/05/25</w:t>
          </w:r>
          <w:r>
            <w:fldChar w:fldCharType="end"/>
          </w:r>
        </w:p>
      </w:tc>
      <w:tc>
        <w:tcPr>
          <w:tcW w:w="846" w:type="pct"/>
        </w:tcPr>
        <w:p w14:paraId="0A8C106A" w14:textId="77777777" w:rsidR="00CF52D3" w:rsidRDefault="00CF52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504E8FD" w14:textId="04F16F90" w:rsidR="00CF52D3"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E75A" w14:textId="77777777" w:rsidR="00CF52D3" w:rsidRDefault="00CF52D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52D3" w14:paraId="70CEAC69" w14:textId="77777777">
      <w:tc>
        <w:tcPr>
          <w:tcW w:w="1061" w:type="pct"/>
        </w:tcPr>
        <w:p w14:paraId="79EC16D2" w14:textId="62F403FE" w:rsidR="00CF52D3" w:rsidRDefault="00A973EB">
          <w:pPr>
            <w:pStyle w:val="Footer"/>
          </w:pPr>
          <w:r>
            <w:fldChar w:fldCharType="begin"/>
          </w:r>
          <w:r>
            <w:instrText xml:space="preserve"> DOCPROPERTY "Category"  </w:instrText>
          </w:r>
          <w:r>
            <w:fldChar w:fldCharType="separate"/>
          </w:r>
          <w:r w:rsidR="005F3B8A">
            <w:t>R5</w:t>
          </w:r>
          <w:r>
            <w:fldChar w:fldCharType="end"/>
          </w:r>
          <w:r w:rsidR="00CF52D3">
            <w:br/>
          </w:r>
          <w:r>
            <w:fldChar w:fldCharType="begin"/>
          </w:r>
          <w:r>
            <w:instrText xml:space="preserve"> DOCPROPERTY "RepubDt"  </w:instrText>
          </w:r>
          <w:r>
            <w:fldChar w:fldCharType="separate"/>
          </w:r>
          <w:r w:rsidR="005F3B8A">
            <w:t>15/12/23</w:t>
          </w:r>
          <w:r>
            <w:fldChar w:fldCharType="end"/>
          </w:r>
        </w:p>
      </w:tc>
      <w:tc>
        <w:tcPr>
          <w:tcW w:w="3093" w:type="pct"/>
        </w:tcPr>
        <w:p w14:paraId="71348028" w14:textId="51F1A92F" w:rsidR="00CF52D3"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062577D8" w14:textId="58BD3164" w:rsidR="00CF52D3" w:rsidRDefault="00A973EB">
          <w:pPr>
            <w:pStyle w:val="FooterInfoCentre"/>
          </w:pPr>
          <w:r>
            <w:fldChar w:fldCharType="begin"/>
          </w:r>
          <w:r>
            <w:instrText xml:space="preserve"> DOCPROPERTY "Eff"  </w:instrText>
          </w:r>
          <w:r>
            <w:fldChar w:fldCharType="separate"/>
          </w:r>
          <w:r w:rsidR="005F3B8A">
            <w:t xml:space="preserve">Effective:  </w:t>
          </w:r>
          <w:r>
            <w:fldChar w:fldCharType="end"/>
          </w:r>
          <w:r>
            <w:fldChar w:fldCharType="begin"/>
          </w:r>
          <w:r>
            <w:instrText xml:space="preserve"> DOCPROPERTY "StartDt"   </w:instrText>
          </w:r>
          <w:r>
            <w:fldChar w:fldCharType="separate"/>
          </w:r>
          <w:r w:rsidR="005F3B8A">
            <w:t>15/12/23</w:t>
          </w:r>
          <w:r>
            <w:fldChar w:fldCharType="end"/>
          </w:r>
          <w:r>
            <w:fldChar w:fldCharType="begin"/>
          </w:r>
          <w:r>
            <w:instrText xml:space="preserve"> DOCPROPERTY "EndDt"  </w:instrText>
          </w:r>
          <w:r>
            <w:fldChar w:fldCharType="separate"/>
          </w:r>
          <w:r w:rsidR="005F3B8A">
            <w:t>-15/05/25</w:t>
          </w:r>
          <w:r>
            <w:fldChar w:fldCharType="end"/>
          </w:r>
        </w:p>
      </w:tc>
      <w:tc>
        <w:tcPr>
          <w:tcW w:w="846" w:type="pct"/>
        </w:tcPr>
        <w:p w14:paraId="66734FF1" w14:textId="77777777" w:rsidR="00CF52D3" w:rsidRDefault="00CF52D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B92C82" w14:textId="5AA4F254" w:rsidR="00CF52D3"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1259"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76A" w14:paraId="520E1804" w14:textId="77777777">
      <w:tc>
        <w:tcPr>
          <w:tcW w:w="847" w:type="pct"/>
        </w:tcPr>
        <w:p w14:paraId="772BA2B7" w14:textId="77777777" w:rsidR="0008376A" w:rsidRDefault="000837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00E4422" w14:textId="3C205C05"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1E58BDB8" w14:textId="4D165A41"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1061" w:type="pct"/>
        </w:tcPr>
        <w:p w14:paraId="4D730EDD" w14:textId="0B78867C" w:rsidR="0008376A" w:rsidRDefault="00A973EB">
          <w:pPr>
            <w:pStyle w:val="Footer"/>
            <w:jc w:val="right"/>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r>
  </w:tbl>
  <w:p w14:paraId="01BC223B" w14:textId="3FC184A5"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DCFE" w14:textId="77777777" w:rsidR="0008376A" w:rsidRDefault="000837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76A" w14:paraId="30B56A25" w14:textId="77777777">
      <w:tc>
        <w:tcPr>
          <w:tcW w:w="1061" w:type="pct"/>
        </w:tcPr>
        <w:p w14:paraId="046BDA8A" w14:textId="7A7AC444" w:rsidR="0008376A" w:rsidRDefault="00A973EB">
          <w:pPr>
            <w:pStyle w:val="Footer"/>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c>
        <w:tcPr>
          <w:tcW w:w="3092" w:type="pct"/>
        </w:tcPr>
        <w:p w14:paraId="38AB8094" w14:textId="73515DFB"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26707A32" w14:textId="47F7A28C"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847" w:type="pct"/>
        </w:tcPr>
        <w:p w14:paraId="440C8E21" w14:textId="77777777" w:rsidR="0008376A" w:rsidRDefault="000837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B5E555" w14:textId="6678B4EB"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8B3F" w14:textId="77777777" w:rsidR="0008376A" w:rsidRDefault="0008376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376A" w14:paraId="6390F5E2" w14:textId="77777777">
      <w:tc>
        <w:tcPr>
          <w:tcW w:w="1061" w:type="pct"/>
        </w:tcPr>
        <w:p w14:paraId="4302DACF" w14:textId="28D7908B" w:rsidR="0008376A" w:rsidRDefault="00A973EB">
          <w:pPr>
            <w:pStyle w:val="Footer"/>
          </w:pPr>
          <w:r>
            <w:fldChar w:fldCharType="begin"/>
          </w:r>
          <w:r>
            <w:instrText xml:space="preserve"> DOCPROPERTY "Category"  *\charformat  </w:instrText>
          </w:r>
          <w:r>
            <w:fldChar w:fldCharType="separate"/>
          </w:r>
          <w:r w:rsidR="005F3B8A">
            <w:t>R5</w:t>
          </w:r>
          <w:r>
            <w:fldChar w:fldCharType="end"/>
          </w:r>
          <w:r w:rsidR="0008376A">
            <w:br/>
          </w:r>
          <w:r>
            <w:fldChar w:fldCharType="begin"/>
          </w:r>
          <w:r>
            <w:instrText xml:space="preserve"> DOCPROPERTY "RepubDt"  *\charformat  </w:instrText>
          </w:r>
          <w:r>
            <w:fldChar w:fldCharType="separate"/>
          </w:r>
          <w:r w:rsidR="005F3B8A">
            <w:t>15/12/23</w:t>
          </w:r>
          <w:r>
            <w:fldChar w:fldCharType="end"/>
          </w:r>
        </w:p>
      </w:tc>
      <w:tc>
        <w:tcPr>
          <w:tcW w:w="3092" w:type="pct"/>
        </w:tcPr>
        <w:p w14:paraId="5F9118D4" w14:textId="020CA493" w:rsidR="0008376A" w:rsidRDefault="00A973EB">
          <w:pPr>
            <w:pStyle w:val="Footer"/>
            <w:jc w:val="center"/>
          </w:pPr>
          <w:r>
            <w:fldChar w:fldCharType="begin"/>
          </w:r>
          <w:r>
            <w:instrText xml:space="preserve"> REF Citation *\charformat </w:instrText>
          </w:r>
          <w:r>
            <w:fldChar w:fldCharType="separate"/>
          </w:r>
          <w:r w:rsidR="005F3B8A">
            <w:t>Motor Accident Injuries (Premiums and Administration) Regulation 2019</w:t>
          </w:r>
          <w:r>
            <w:fldChar w:fldCharType="end"/>
          </w:r>
        </w:p>
        <w:p w14:paraId="5C7270DA" w14:textId="26608006" w:rsidR="0008376A" w:rsidRDefault="00A973EB">
          <w:pPr>
            <w:pStyle w:val="FooterInfoCentre"/>
          </w:pPr>
          <w:r>
            <w:fldChar w:fldCharType="begin"/>
          </w:r>
          <w:r>
            <w:instrText xml:space="preserve"> DOCPROPERTY "Eff"  *\charformat </w:instrText>
          </w:r>
          <w:r>
            <w:fldChar w:fldCharType="separate"/>
          </w:r>
          <w:r w:rsidR="005F3B8A">
            <w:t xml:space="preserve">Effective:  </w:t>
          </w:r>
          <w:r>
            <w:fldChar w:fldCharType="end"/>
          </w:r>
          <w:r>
            <w:fldChar w:fldCharType="begin"/>
          </w:r>
          <w:r>
            <w:instrText xml:space="preserve"> DOCPROPERTY "StartDt"  *\charformat </w:instrText>
          </w:r>
          <w:r>
            <w:fldChar w:fldCharType="separate"/>
          </w:r>
          <w:r w:rsidR="005F3B8A">
            <w:t>15/12/23</w:t>
          </w:r>
          <w:r>
            <w:fldChar w:fldCharType="end"/>
          </w:r>
          <w:r>
            <w:fldChar w:fldCharType="begin"/>
          </w:r>
          <w:r>
            <w:instrText xml:space="preserve"> DOCPROPERTY "EndDt"  *\charformat </w:instrText>
          </w:r>
          <w:r>
            <w:fldChar w:fldCharType="separate"/>
          </w:r>
          <w:r w:rsidR="005F3B8A">
            <w:t>-15/05/25</w:t>
          </w:r>
          <w:r>
            <w:fldChar w:fldCharType="end"/>
          </w:r>
        </w:p>
      </w:tc>
      <w:tc>
        <w:tcPr>
          <w:tcW w:w="847" w:type="pct"/>
        </w:tcPr>
        <w:p w14:paraId="2D60545B" w14:textId="77777777" w:rsidR="0008376A" w:rsidRDefault="000837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35BC3D" w14:textId="17886433" w:rsidR="0008376A" w:rsidRPr="00A973EB" w:rsidRDefault="00A973EB" w:rsidP="00A973EB">
    <w:pPr>
      <w:pStyle w:val="Status"/>
      <w:rPr>
        <w:rFonts w:cs="Arial"/>
      </w:rPr>
    </w:pPr>
    <w:r w:rsidRPr="00A973EB">
      <w:rPr>
        <w:rFonts w:cs="Arial"/>
      </w:rPr>
      <w:fldChar w:fldCharType="begin"/>
    </w:r>
    <w:r w:rsidRPr="00A973EB">
      <w:rPr>
        <w:rFonts w:cs="Arial"/>
      </w:rPr>
      <w:instrText xml:space="preserve"> DOCPROPERTY "Status" </w:instrText>
    </w:r>
    <w:r w:rsidRPr="00A973EB">
      <w:rPr>
        <w:rFonts w:cs="Arial"/>
      </w:rPr>
      <w:fldChar w:fldCharType="separate"/>
    </w:r>
    <w:r w:rsidR="005F3B8A" w:rsidRPr="00A973EB">
      <w:rPr>
        <w:rFonts w:cs="Arial"/>
      </w:rPr>
      <w:t xml:space="preserve"> </w:t>
    </w:r>
    <w:r w:rsidRPr="00A973EB">
      <w:rPr>
        <w:rFonts w:cs="Arial"/>
      </w:rPr>
      <w:fldChar w:fldCharType="end"/>
    </w:r>
    <w:r w:rsidRPr="00A973E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4DD7" w14:textId="77777777" w:rsidR="005F1275" w:rsidRDefault="005F1275">
      <w:r>
        <w:separator/>
      </w:r>
    </w:p>
  </w:footnote>
  <w:footnote w:type="continuationSeparator" w:id="0">
    <w:p w14:paraId="10F768CA" w14:textId="77777777" w:rsidR="005F1275" w:rsidRDefault="005F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D027" w14:textId="77777777" w:rsidR="00AF7F76" w:rsidRDefault="00AF7F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76A" w:rsidRPr="00CB3D59" w14:paraId="0B535E90" w14:textId="77777777">
      <w:trPr>
        <w:jc w:val="center"/>
      </w:trPr>
      <w:tc>
        <w:tcPr>
          <w:tcW w:w="1560" w:type="dxa"/>
        </w:tcPr>
        <w:p w14:paraId="1674FF14" w14:textId="74541CA7" w:rsidR="0008376A" w:rsidRPr="00F02A14" w:rsidRDefault="0008376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973EB">
            <w:rPr>
              <w:rFonts w:cs="Arial"/>
              <w:b/>
              <w:noProof/>
              <w:szCs w:val="18"/>
            </w:rPr>
            <w:t>Schedule 1</w:t>
          </w:r>
          <w:r w:rsidRPr="00F02A14">
            <w:rPr>
              <w:rFonts w:cs="Arial"/>
              <w:b/>
              <w:szCs w:val="18"/>
            </w:rPr>
            <w:fldChar w:fldCharType="end"/>
          </w:r>
        </w:p>
      </w:tc>
      <w:tc>
        <w:tcPr>
          <w:tcW w:w="5741" w:type="dxa"/>
        </w:tcPr>
        <w:p w14:paraId="216A6FE5" w14:textId="6E1CF7D4" w:rsidR="0008376A" w:rsidRPr="00F02A14" w:rsidRDefault="0008376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973EB">
            <w:rPr>
              <w:rFonts w:cs="Arial"/>
              <w:noProof/>
              <w:szCs w:val="18"/>
            </w:rPr>
            <w:t>MAI premium classes</w:t>
          </w:r>
          <w:r w:rsidRPr="00F02A14">
            <w:rPr>
              <w:rFonts w:cs="Arial"/>
              <w:szCs w:val="18"/>
            </w:rPr>
            <w:fldChar w:fldCharType="end"/>
          </w:r>
        </w:p>
      </w:tc>
    </w:tr>
    <w:tr w:rsidR="0008376A" w:rsidRPr="00CB3D59" w14:paraId="20A95C99" w14:textId="77777777">
      <w:trPr>
        <w:jc w:val="center"/>
      </w:trPr>
      <w:tc>
        <w:tcPr>
          <w:tcW w:w="1560" w:type="dxa"/>
        </w:tcPr>
        <w:p w14:paraId="185F80E6" w14:textId="3BF2813B" w:rsidR="0008376A" w:rsidRPr="00F02A14" w:rsidRDefault="0008376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973EB">
            <w:rPr>
              <w:rFonts w:cs="Arial"/>
              <w:b/>
              <w:noProof/>
              <w:szCs w:val="18"/>
            </w:rPr>
            <w:t>Part 1.2</w:t>
          </w:r>
          <w:r w:rsidRPr="00F02A14">
            <w:rPr>
              <w:rFonts w:cs="Arial"/>
              <w:b/>
              <w:szCs w:val="18"/>
            </w:rPr>
            <w:fldChar w:fldCharType="end"/>
          </w:r>
        </w:p>
      </w:tc>
      <w:tc>
        <w:tcPr>
          <w:tcW w:w="5741" w:type="dxa"/>
        </w:tcPr>
        <w:p w14:paraId="22E0AF14" w14:textId="0497FCF5" w:rsidR="0008376A" w:rsidRPr="00F02A14" w:rsidRDefault="0008376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973EB">
            <w:rPr>
              <w:rFonts w:cs="Arial"/>
              <w:noProof/>
              <w:szCs w:val="18"/>
            </w:rPr>
            <w:t>MAI premium classes</w:t>
          </w:r>
          <w:r w:rsidRPr="00F02A14">
            <w:rPr>
              <w:rFonts w:cs="Arial"/>
              <w:szCs w:val="18"/>
            </w:rPr>
            <w:fldChar w:fldCharType="end"/>
          </w:r>
        </w:p>
      </w:tc>
    </w:tr>
    <w:tr w:rsidR="0008376A" w:rsidRPr="00CB3D59" w14:paraId="13DFBDB5" w14:textId="77777777">
      <w:trPr>
        <w:jc w:val="center"/>
      </w:trPr>
      <w:tc>
        <w:tcPr>
          <w:tcW w:w="7296" w:type="dxa"/>
          <w:gridSpan w:val="2"/>
          <w:tcBorders>
            <w:bottom w:val="single" w:sz="4" w:space="0" w:color="auto"/>
          </w:tcBorders>
        </w:tcPr>
        <w:p w14:paraId="1C521441" w14:textId="77777777" w:rsidR="0008376A" w:rsidRPr="00783A18" w:rsidRDefault="0008376A" w:rsidP="00783A18">
          <w:pPr>
            <w:pStyle w:val="HeaderEven6"/>
            <w:spacing w:before="0" w:after="0"/>
            <w:rPr>
              <w:rFonts w:ascii="Times New Roman" w:hAnsi="Times New Roman"/>
              <w:sz w:val="24"/>
              <w:szCs w:val="24"/>
            </w:rPr>
          </w:pPr>
        </w:p>
      </w:tc>
    </w:tr>
  </w:tbl>
  <w:p w14:paraId="097D9629" w14:textId="77777777" w:rsidR="0008376A" w:rsidRDefault="000837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76A" w:rsidRPr="00CB3D59" w14:paraId="7F058D89" w14:textId="77777777">
      <w:trPr>
        <w:jc w:val="center"/>
      </w:trPr>
      <w:tc>
        <w:tcPr>
          <w:tcW w:w="5741" w:type="dxa"/>
        </w:tcPr>
        <w:p w14:paraId="5042C45E" w14:textId="3993D854" w:rsidR="0008376A" w:rsidRPr="00F02A14" w:rsidRDefault="0008376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973EB">
            <w:rPr>
              <w:rFonts w:cs="Arial"/>
              <w:noProof/>
              <w:szCs w:val="18"/>
            </w:rPr>
            <w:t>MAI premium classes</w:t>
          </w:r>
          <w:r w:rsidRPr="00F02A14">
            <w:rPr>
              <w:rFonts w:cs="Arial"/>
              <w:szCs w:val="18"/>
            </w:rPr>
            <w:fldChar w:fldCharType="end"/>
          </w:r>
        </w:p>
      </w:tc>
      <w:tc>
        <w:tcPr>
          <w:tcW w:w="1560" w:type="dxa"/>
        </w:tcPr>
        <w:p w14:paraId="2C7426E9" w14:textId="3B0C592F" w:rsidR="0008376A" w:rsidRPr="00F02A14" w:rsidRDefault="0008376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973EB">
            <w:rPr>
              <w:rFonts w:cs="Arial"/>
              <w:b/>
              <w:noProof/>
              <w:szCs w:val="18"/>
            </w:rPr>
            <w:t>Schedule 1</w:t>
          </w:r>
          <w:r w:rsidRPr="00F02A14">
            <w:rPr>
              <w:rFonts w:cs="Arial"/>
              <w:b/>
              <w:szCs w:val="18"/>
            </w:rPr>
            <w:fldChar w:fldCharType="end"/>
          </w:r>
        </w:p>
      </w:tc>
    </w:tr>
    <w:tr w:rsidR="0008376A" w:rsidRPr="00CB3D59" w14:paraId="5E414AA3" w14:textId="77777777">
      <w:trPr>
        <w:jc w:val="center"/>
      </w:trPr>
      <w:tc>
        <w:tcPr>
          <w:tcW w:w="5741" w:type="dxa"/>
        </w:tcPr>
        <w:p w14:paraId="1313B942" w14:textId="4480B083" w:rsidR="0008376A" w:rsidRPr="00F02A14" w:rsidRDefault="0008376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973EB">
            <w:rPr>
              <w:rFonts w:cs="Arial"/>
              <w:noProof/>
              <w:szCs w:val="18"/>
            </w:rPr>
            <w:t>MAI premium classes</w:t>
          </w:r>
          <w:r w:rsidRPr="00F02A14">
            <w:rPr>
              <w:rFonts w:cs="Arial"/>
              <w:szCs w:val="18"/>
            </w:rPr>
            <w:fldChar w:fldCharType="end"/>
          </w:r>
        </w:p>
      </w:tc>
      <w:tc>
        <w:tcPr>
          <w:tcW w:w="1560" w:type="dxa"/>
        </w:tcPr>
        <w:p w14:paraId="76B6CF72" w14:textId="60ED063D" w:rsidR="0008376A" w:rsidRPr="00F02A14" w:rsidRDefault="0008376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973EB">
            <w:rPr>
              <w:rFonts w:cs="Arial"/>
              <w:b/>
              <w:noProof/>
              <w:szCs w:val="18"/>
            </w:rPr>
            <w:t>Part 1.2</w:t>
          </w:r>
          <w:r w:rsidRPr="00F02A14">
            <w:rPr>
              <w:rFonts w:cs="Arial"/>
              <w:b/>
              <w:szCs w:val="18"/>
            </w:rPr>
            <w:fldChar w:fldCharType="end"/>
          </w:r>
        </w:p>
      </w:tc>
    </w:tr>
    <w:tr w:rsidR="0008376A" w:rsidRPr="00CB3D59" w14:paraId="6F0821B7" w14:textId="77777777">
      <w:trPr>
        <w:jc w:val="center"/>
      </w:trPr>
      <w:tc>
        <w:tcPr>
          <w:tcW w:w="7296" w:type="dxa"/>
          <w:gridSpan w:val="2"/>
          <w:tcBorders>
            <w:bottom w:val="single" w:sz="4" w:space="0" w:color="auto"/>
          </w:tcBorders>
        </w:tcPr>
        <w:p w14:paraId="09D943BB" w14:textId="77777777" w:rsidR="0008376A" w:rsidRPr="00783A18" w:rsidRDefault="0008376A" w:rsidP="00783A18">
          <w:pPr>
            <w:pStyle w:val="HeaderOdd6"/>
            <w:spacing w:before="0" w:after="0"/>
            <w:jc w:val="left"/>
            <w:rPr>
              <w:rFonts w:ascii="Times New Roman" w:hAnsi="Times New Roman"/>
              <w:sz w:val="24"/>
              <w:szCs w:val="24"/>
            </w:rPr>
          </w:pPr>
        </w:p>
      </w:tc>
    </w:tr>
  </w:tbl>
  <w:p w14:paraId="26025FF2" w14:textId="77777777" w:rsidR="0008376A" w:rsidRDefault="000837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8376A" w14:paraId="5A576571" w14:textId="77777777">
      <w:trPr>
        <w:jc w:val="center"/>
      </w:trPr>
      <w:tc>
        <w:tcPr>
          <w:tcW w:w="1340" w:type="dxa"/>
        </w:tcPr>
        <w:p w14:paraId="31B6AB88" w14:textId="77777777" w:rsidR="0008376A" w:rsidRDefault="0008376A">
          <w:pPr>
            <w:pStyle w:val="HeaderEven"/>
          </w:pPr>
        </w:p>
      </w:tc>
      <w:tc>
        <w:tcPr>
          <w:tcW w:w="6583" w:type="dxa"/>
        </w:tcPr>
        <w:p w14:paraId="47DF3DEC" w14:textId="77777777" w:rsidR="0008376A" w:rsidRDefault="0008376A">
          <w:pPr>
            <w:pStyle w:val="HeaderEven"/>
          </w:pPr>
        </w:p>
      </w:tc>
    </w:tr>
    <w:tr w:rsidR="0008376A" w14:paraId="3349CA30" w14:textId="77777777">
      <w:trPr>
        <w:jc w:val="center"/>
      </w:trPr>
      <w:tc>
        <w:tcPr>
          <w:tcW w:w="7923" w:type="dxa"/>
          <w:gridSpan w:val="2"/>
          <w:tcBorders>
            <w:bottom w:val="single" w:sz="4" w:space="0" w:color="auto"/>
          </w:tcBorders>
        </w:tcPr>
        <w:p w14:paraId="65DB90AB" w14:textId="77777777" w:rsidR="0008376A" w:rsidRDefault="0008376A">
          <w:pPr>
            <w:pStyle w:val="HeaderEven6"/>
          </w:pPr>
          <w:r>
            <w:t>Dictionary</w:t>
          </w:r>
        </w:p>
      </w:tc>
    </w:tr>
  </w:tbl>
  <w:p w14:paraId="30DE53A7" w14:textId="77777777" w:rsidR="0008376A" w:rsidRDefault="000837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8376A" w14:paraId="1D635E78" w14:textId="77777777">
      <w:trPr>
        <w:jc w:val="center"/>
      </w:trPr>
      <w:tc>
        <w:tcPr>
          <w:tcW w:w="6583" w:type="dxa"/>
        </w:tcPr>
        <w:p w14:paraId="040D4E04" w14:textId="77777777" w:rsidR="0008376A" w:rsidRDefault="0008376A">
          <w:pPr>
            <w:pStyle w:val="HeaderOdd"/>
          </w:pPr>
        </w:p>
      </w:tc>
      <w:tc>
        <w:tcPr>
          <w:tcW w:w="1340" w:type="dxa"/>
        </w:tcPr>
        <w:p w14:paraId="0D76B0A5" w14:textId="77777777" w:rsidR="0008376A" w:rsidRDefault="0008376A">
          <w:pPr>
            <w:pStyle w:val="HeaderOdd"/>
          </w:pPr>
        </w:p>
      </w:tc>
    </w:tr>
    <w:tr w:rsidR="0008376A" w14:paraId="167FAF5C" w14:textId="77777777">
      <w:trPr>
        <w:jc w:val="center"/>
      </w:trPr>
      <w:tc>
        <w:tcPr>
          <w:tcW w:w="7923" w:type="dxa"/>
          <w:gridSpan w:val="2"/>
          <w:tcBorders>
            <w:bottom w:val="single" w:sz="4" w:space="0" w:color="auto"/>
          </w:tcBorders>
        </w:tcPr>
        <w:p w14:paraId="082BE1BC" w14:textId="77777777" w:rsidR="0008376A" w:rsidRDefault="0008376A">
          <w:pPr>
            <w:pStyle w:val="HeaderOdd6"/>
          </w:pPr>
          <w:r>
            <w:t>Dictionary</w:t>
          </w:r>
        </w:p>
      </w:tc>
    </w:tr>
  </w:tbl>
  <w:p w14:paraId="3B770988" w14:textId="77777777" w:rsidR="0008376A" w:rsidRDefault="0008376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8376A" w14:paraId="3B5F0B8A" w14:textId="77777777">
      <w:trPr>
        <w:jc w:val="center"/>
      </w:trPr>
      <w:tc>
        <w:tcPr>
          <w:tcW w:w="1234" w:type="dxa"/>
          <w:gridSpan w:val="2"/>
        </w:tcPr>
        <w:p w14:paraId="03F052D2" w14:textId="77777777" w:rsidR="0008376A" w:rsidRDefault="0008376A">
          <w:pPr>
            <w:pStyle w:val="HeaderEven"/>
            <w:rPr>
              <w:b/>
            </w:rPr>
          </w:pPr>
          <w:r>
            <w:rPr>
              <w:b/>
            </w:rPr>
            <w:t>Endnotes</w:t>
          </w:r>
        </w:p>
      </w:tc>
      <w:tc>
        <w:tcPr>
          <w:tcW w:w="6062" w:type="dxa"/>
        </w:tcPr>
        <w:p w14:paraId="35A5F970" w14:textId="77777777" w:rsidR="0008376A" w:rsidRDefault="0008376A">
          <w:pPr>
            <w:pStyle w:val="HeaderEven"/>
          </w:pPr>
        </w:p>
      </w:tc>
    </w:tr>
    <w:tr w:rsidR="0008376A" w14:paraId="6C93825D" w14:textId="77777777">
      <w:trPr>
        <w:cantSplit/>
        <w:jc w:val="center"/>
      </w:trPr>
      <w:tc>
        <w:tcPr>
          <w:tcW w:w="7296" w:type="dxa"/>
          <w:gridSpan w:val="3"/>
        </w:tcPr>
        <w:p w14:paraId="484A7C68" w14:textId="77777777" w:rsidR="0008376A" w:rsidRDefault="0008376A">
          <w:pPr>
            <w:pStyle w:val="HeaderEven"/>
          </w:pPr>
        </w:p>
      </w:tc>
    </w:tr>
    <w:tr w:rsidR="0008376A" w14:paraId="2E841008" w14:textId="77777777">
      <w:trPr>
        <w:cantSplit/>
        <w:jc w:val="center"/>
      </w:trPr>
      <w:tc>
        <w:tcPr>
          <w:tcW w:w="700" w:type="dxa"/>
          <w:tcBorders>
            <w:bottom w:val="single" w:sz="4" w:space="0" w:color="auto"/>
          </w:tcBorders>
        </w:tcPr>
        <w:p w14:paraId="71FD08CB" w14:textId="17037C10" w:rsidR="0008376A" w:rsidRDefault="0008376A">
          <w:pPr>
            <w:pStyle w:val="HeaderEven6"/>
          </w:pPr>
          <w:r>
            <w:rPr>
              <w:noProof/>
            </w:rPr>
            <w:fldChar w:fldCharType="begin"/>
          </w:r>
          <w:r>
            <w:rPr>
              <w:noProof/>
            </w:rPr>
            <w:instrText xml:space="preserve"> STYLEREF charTableNo \*charformat </w:instrText>
          </w:r>
          <w:r>
            <w:rPr>
              <w:noProof/>
            </w:rPr>
            <w:fldChar w:fldCharType="separate"/>
          </w:r>
          <w:r w:rsidR="00A973EB">
            <w:rPr>
              <w:noProof/>
            </w:rPr>
            <w:t>4</w:t>
          </w:r>
          <w:r>
            <w:rPr>
              <w:noProof/>
            </w:rPr>
            <w:fldChar w:fldCharType="end"/>
          </w:r>
        </w:p>
      </w:tc>
      <w:tc>
        <w:tcPr>
          <w:tcW w:w="6600" w:type="dxa"/>
          <w:gridSpan w:val="2"/>
          <w:tcBorders>
            <w:bottom w:val="single" w:sz="4" w:space="0" w:color="auto"/>
          </w:tcBorders>
        </w:tcPr>
        <w:p w14:paraId="134739E0" w14:textId="56E2AA6C" w:rsidR="0008376A" w:rsidRDefault="0008376A">
          <w:pPr>
            <w:pStyle w:val="HeaderEven6"/>
          </w:pPr>
          <w:r>
            <w:rPr>
              <w:noProof/>
            </w:rPr>
            <w:fldChar w:fldCharType="begin"/>
          </w:r>
          <w:r>
            <w:rPr>
              <w:noProof/>
            </w:rPr>
            <w:instrText xml:space="preserve"> STYLEREF charTableText \*charformat </w:instrText>
          </w:r>
          <w:r>
            <w:rPr>
              <w:noProof/>
            </w:rPr>
            <w:fldChar w:fldCharType="separate"/>
          </w:r>
          <w:r w:rsidR="00A973EB">
            <w:rPr>
              <w:noProof/>
            </w:rPr>
            <w:t>Amendment history</w:t>
          </w:r>
          <w:r>
            <w:rPr>
              <w:noProof/>
            </w:rPr>
            <w:fldChar w:fldCharType="end"/>
          </w:r>
        </w:p>
      </w:tc>
    </w:tr>
  </w:tbl>
  <w:p w14:paraId="1B67CB97" w14:textId="77777777" w:rsidR="0008376A" w:rsidRDefault="0008376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8376A" w14:paraId="3B6FB822" w14:textId="77777777">
      <w:trPr>
        <w:jc w:val="center"/>
      </w:trPr>
      <w:tc>
        <w:tcPr>
          <w:tcW w:w="5741" w:type="dxa"/>
        </w:tcPr>
        <w:p w14:paraId="50DE28E0" w14:textId="77777777" w:rsidR="0008376A" w:rsidRDefault="0008376A">
          <w:pPr>
            <w:pStyle w:val="HeaderEven"/>
            <w:jc w:val="right"/>
          </w:pPr>
        </w:p>
      </w:tc>
      <w:tc>
        <w:tcPr>
          <w:tcW w:w="1560" w:type="dxa"/>
          <w:gridSpan w:val="2"/>
        </w:tcPr>
        <w:p w14:paraId="75D304E5" w14:textId="77777777" w:rsidR="0008376A" w:rsidRDefault="0008376A">
          <w:pPr>
            <w:pStyle w:val="HeaderEven"/>
            <w:jc w:val="right"/>
            <w:rPr>
              <w:b/>
            </w:rPr>
          </w:pPr>
          <w:r>
            <w:rPr>
              <w:b/>
            </w:rPr>
            <w:t>Endnotes</w:t>
          </w:r>
        </w:p>
      </w:tc>
    </w:tr>
    <w:tr w:rsidR="0008376A" w14:paraId="0603A346" w14:textId="77777777">
      <w:trPr>
        <w:jc w:val="center"/>
      </w:trPr>
      <w:tc>
        <w:tcPr>
          <w:tcW w:w="7301" w:type="dxa"/>
          <w:gridSpan w:val="3"/>
        </w:tcPr>
        <w:p w14:paraId="47F7BC67" w14:textId="77777777" w:rsidR="0008376A" w:rsidRDefault="0008376A">
          <w:pPr>
            <w:pStyle w:val="HeaderEven"/>
            <w:jc w:val="right"/>
            <w:rPr>
              <w:b/>
            </w:rPr>
          </w:pPr>
        </w:p>
      </w:tc>
    </w:tr>
    <w:tr w:rsidR="0008376A" w14:paraId="46FF4BCE" w14:textId="77777777">
      <w:trPr>
        <w:jc w:val="center"/>
      </w:trPr>
      <w:tc>
        <w:tcPr>
          <w:tcW w:w="6600" w:type="dxa"/>
          <w:gridSpan w:val="2"/>
          <w:tcBorders>
            <w:bottom w:val="single" w:sz="4" w:space="0" w:color="auto"/>
          </w:tcBorders>
        </w:tcPr>
        <w:p w14:paraId="549B5E77" w14:textId="565C5D62" w:rsidR="0008376A" w:rsidRDefault="0008376A">
          <w:pPr>
            <w:pStyle w:val="HeaderOdd6"/>
          </w:pPr>
          <w:r>
            <w:rPr>
              <w:noProof/>
            </w:rPr>
            <w:fldChar w:fldCharType="begin"/>
          </w:r>
          <w:r>
            <w:rPr>
              <w:noProof/>
            </w:rPr>
            <w:instrText xml:space="preserve"> STYLEREF charTableText \*charformat </w:instrText>
          </w:r>
          <w:r>
            <w:rPr>
              <w:noProof/>
            </w:rPr>
            <w:fldChar w:fldCharType="separate"/>
          </w:r>
          <w:r w:rsidR="00A973EB">
            <w:rPr>
              <w:noProof/>
            </w:rPr>
            <w:t>Earlier republications</w:t>
          </w:r>
          <w:r>
            <w:rPr>
              <w:noProof/>
            </w:rPr>
            <w:fldChar w:fldCharType="end"/>
          </w:r>
        </w:p>
      </w:tc>
      <w:tc>
        <w:tcPr>
          <w:tcW w:w="700" w:type="dxa"/>
          <w:tcBorders>
            <w:bottom w:val="single" w:sz="4" w:space="0" w:color="auto"/>
          </w:tcBorders>
        </w:tcPr>
        <w:p w14:paraId="6783D13F" w14:textId="70DB5A18" w:rsidR="0008376A" w:rsidRDefault="0008376A">
          <w:pPr>
            <w:pStyle w:val="HeaderOdd6"/>
          </w:pPr>
          <w:r>
            <w:rPr>
              <w:noProof/>
            </w:rPr>
            <w:fldChar w:fldCharType="begin"/>
          </w:r>
          <w:r>
            <w:rPr>
              <w:noProof/>
            </w:rPr>
            <w:instrText xml:space="preserve"> STYLEREF charTableNo \*charformat </w:instrText>
          </w:r>
          <w:r>
            <w:rPr>
              <w:noProof/>
            </w:rPr>
            <w:fldChar w:fldCharType="separate"/>
          </w:r>
          <w:r w:rsidR="00A973EB">
            <w:rPr>
              <w:noProof/>
            </w:rPr>
            <w:t>5</w:t>
          </w:r>
          <w:r>
            <w:rPr>
              <w:noProof/>
            </w:rPr>
            <w:fldChar w:fldCharType="end"/>
          </w:r>
        </w:p>
      </w:tc>
    </w:tr>
  </w:tbl>
  <w:p w14:paraId="4B0C0995" w14:textId="77777777" w:rsidR="0008376A" w:rsidRDefault="0008376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418A" w14:textId="77777777" w:rsidR="009917C6" w:rsidRDefault="009917C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C8A" w14:textId="77777777" w:rsidR="009917C6" w:rsidRDefault="009917C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B78" w14:textId="77777777" w:rsidR="009917C6" w:rsidRDefault="009917C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917C6" w:rsidRPr="00E06D02" w14:paraId="730CB5F5" w14:textId="77777777" w:rsidTr="00567644">
      <w:trPr>
        <w:jc w:val="center"/>
      </w:trPr>
      <w:tc>
        <w:tcPr>
          <w:tcW w:w="1068" w:type="pct"/>
        </w:tcPr>
        <w:p w14:paraId="068B2C55" w14:textId="77777777" w:rsidR="009917C6" w:rsidRPr="00567644" w:rsidRDefault="009917C6" w:rsidP="00567644">
          <w:pPr>
            <w:pStyle w:val="HeaderEven"/>
            <w:tabs>
              <w:tab w:val="left" w:pos="700"/>
            </w:tabs>
            <w:ind w:left="697" w:hanging="697"/>
            <w:rPr>
              <w:rFonts w:cs="Arial"/>
              <w:szCs w:val="18"/>
            </w:rPr>
          </w:pPr>
        </w:p>
      </w:tc>
      <w:tc>
        <w:tcPr>
          <w:tcW w:w="3932" w:type="pct"/>
        </w:tcPr>
        <w:p w14:paraId="24307BDE" w14:textId="77777777" w:rsidR="009917C6" w:rsidRPr="00567644" w:rsidRDefault="009917C6" w:rsidP="00567644">
          <w:pPr>
            <w:pStyle w:val="HeaderEven"/>
            <w:tabs>
              <w:tab w:val="left" w:pos="700"/>
            </w:tabs>
            <w:ind w:left="697" w:hanging="697"/>
            <w:rPr>
              <w:rFonts w:cs="Arial"/>
              <w:szCs w:val="18"/>
            </w:rPr>
          </w:pPr>
        </w:p>
      </w:tc>
    </w:tr>
    <w:tr w:rsidR="009917C6" w:rsidRPr="00E06D02" w14:paraId="4463875F" w14:textId="77777777" w:rsidTr="00567644">
      <w:trPr>
        <w:jc w:val="center"/>
      </w:trPr>
      <w:tc>
        <w:tcPr>
          <w:tcW w:w="1068" w:type="pct"/>
        </w:tcPr>
        <w:p w14:paraId="49AD6EB1" w14:textId="77777777" w:rsidR="009917C6" w:rsidRPr="00567644" w:rsidRDefault="009917C6" w:rsidP="00567644">
          <w:pPr>
            <w:pStyle w:val="HeaderEven"/>
            <w:tabs>
              <w:tab w:val="left" w:pos="700"/>
            </w:tabs>
            <w:ind w:left="697" w:hanging="697"/>
            <w:rPr>
              <w:rFonts w:cs="Arial"/>
              <w:szCs w:val="18"/>
            </w:rPr>
          </w:pPr>
        </w:p>
      </w:tc>
      <w:tc>
        <w:tcPr>
          <w:tcW w:w="3932" w:type="pct"/>
        </w:tcPr>
        <w:p w14:paraId="1D7C4B5A" w14:textId="77777777" w:rsidR="009917C6" w:rsidRPr="00567644" w:rsidRDefault="009917C6" w:rsidP="00567644">
          <w:pPr>
            <w:pStyle w:val="HeaderEven"/>
            <w:tabs>
              <w:tab w:val="left" w:pos="700"/>
            </w:tabs>
            <w:ind w:left="697" w:hanging="697"/>
            <w:rPr>
              <w:rFonts w:cs="Arial"/>
              <w:szCs w:val="18"/>
            </w:rPr>
          </w:pPr>
        </w:p>
      </w:tc>
    </w:tr>
    <w:tr w:rsidR="009917C6" w:rsidRPr="00E06D02" w14:paraId="61A5ED1A" w14:textId="77777777" w:rsidTr="00567644">
      <w:trPr>
        <w:cantSplit/>
        <w:jc w:val="center"/>
      </w:trPr>
      <w:tc>
        <w:tcPr>
          <w:tcW w:w="4997" w:type="pct"/>
          <w:gridSpan w:val="2"/>
          <w:tcBorders>
            <w:bottom w:val="single" w:sz="4" w:space="0" w:color="auto"/>
          </w:tcBorders>
        </w:tcPr>
        <w:p w14:paraId="394D32E2" w14:textId="77777777" w:rsidR="009917C6" w:rsidRPr="00567644" w:rsidRDefault="009917C6" w:rsidP="00567644">
          <w:pPr>
            <w:pStyle w:val="HeaderEven6"/>
            <w:tabs>
              <w:tab w:val="left" w:pos="700"/>
            </w:tabs>
            <w:ind w:left="697" w:hanging="697"/>
            <w:rPr>
              <w:szCs w:val="18"/>
            </w:rPr>
          </w:pPr>
        </w:p>
      </w:tc>
    </w:tr>
  </w:tbl>
  <w:p w14:paraId="3585F8F4" w14:textId="77777777" w:rsidR="009917C6" w:rsidRDefault="009917C6"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3990" w14:textId="77777777" w:rsidR="00AF7F76" w:rsidRDefault="00AF7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7EE6" w14:textId="77777777" w:rsidR="00AF7F76" w:rsidRDefault="00AF7F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52D3" w14:paraId="7AA3EF4B" w14:textId="77777777">
      <w:tc>
        <w:tcPr>
          <w:tcW w:w="900" w:type="pct"/>
        </w:tcPr>
        <w:p w14:paraId="4DEEA38C" w14:textId="77777777" w:rsidR="00CF52D3" w:rsidRDefault="00CF52D3">
          <w:pPr>
            <w:pStyle w:val="HeaderEven"/>
          </w:pPr>
        </w:p>
      </w:tc>
      <w:tc>
        <w:tcPr>
          <w:tcW w:w="4100" w:type="pct"/>
        </w:tcPr>
        <w:p w14:paraId="57051FDB" w14:textId="77777777" w:rsidR="00CF52D3" w:rsidRDefault="00CF52D3">
          <w:pPr>
            <w:pStyle w:val="HeaderEven"/>
          </w:pPr>
        </w:p>
      </w:tc>
    </w:tr>
    <w:tr w:rsidR="00CF52D3" w14:paraId="2EF2FFCD" w14:textId="77777777">
      <w:tc>
        <w:tcPr>
          <w:tcW w:w="4100" w:type="pct"/>
          <w:gridSpan w:val="2"/>
          <w:tcBorders>
            <w:bottom w:val="single" w:sz="4" w:space="0" w:color="auto"/>
          </w:tcBorders>
        </w:tcPr>
        <w:p w14:paraId="7E200F2C" w14:textId="65EE23A1" w:rsidR="00CF52D3" w:rsidRDefault="00A973E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B4C15D8" w14:textId="6C37D55F" w:rsidR="00CF52D3" w:rsidRDefault="00CF52D3">
    <w:pPr>
      <w:pStyle w:val="N-9pt"/>
    </w:pPr>
    <w:r>
      <w:tab/>
    </w:r>
    <w:r w:rsidR="00A973EB">
      <w:fldChar w:fldCharType="begin"/>
    </w:r>
    <w:r w:rsidR="00A973EB">
      <w:instrText xml:space="preserve"> STYLEREF charPage \* MERGEFORMAT </w:instrText>
    </w:r>
    <w:r w:rsidR="00A973EB">
      <w:fldChar w:fldCharType="separate"/>
    </w:r>
    <w:r w:rsidR="00A973EB">
      <w:rPr>
        <w:noProof/>
      </w:rPr>
      <w:t>Page</w:t>
    </w:r>
    <w:r w:rsidR="00A973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52D3" w14:paraId="25208DE8" w14:textId="77777777">
      <w:tc>
        <w:tcPr>
          <w:tcW w:w="4100" w:type="pct"/>
        </w:tcPr>
        <w:p w14:paraId="1330BE9C" w14:textId="77777777" w:rsidR="00CF52D3" w:rsidRDefault="00CF52D3">
          <w:pPr>
            <w:pStyle w:val="HeaderOdd"/>
          </w:pPr>
        </w:p>
      </w:tc>
      <w:tc>
        <w:tcPr>
          <w:tcW w:w="900" w:type="pct"/>
        </w:tcPr>
        <w:p w14:paraId="500D3113" w14:textId="77777777" w:rsidR="00CF52D3" w:rsidRDefault="00CF52D3">
          <w:pPr>
            <w:pStyle w:val="HeaderOdd"/>
          </w:pPr>
        </w:p>
      </w:tc>
    </w:tr>
    <w:tr w:rsidR="00CF52D3" w14:paraId="69664C63" w14:textId="77777777">
      <w:tc>
        <w:tcPr>
          <w:tcW w:w="900" w:type="pct"/>
          <w:gridSpan w:val="2"/>
          <w:tcBorders>
            <w:bottom w:val="single" w:sz="4" w:space="0" w:color="auto"/>
          </w:tcBorders>
        </w:tcPr>
        <w:p w14:paraId="6CF0B540" w14:textId="25C46439" w:rsidR="00CF52D3" w:rsidRDefault="00A973EB">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48D60C9" w14:textId="5DA09D3B" w:rsidR="00CF52D3" w:rsidRDefault="00CF52D3">
    <w:pPr>
      <w:pStyle w:val="N-9pt"/>
    </w:pPr>
    <w:r>
      <w:tab/>
    </w:r>
    <w:r w:rsidR="00A973EB">
      <w:fldChar w:fldCharType="begin"/>
    </w:r>
    <w:r w:rsidR="00A973EB">
      <w:instrText xml:space="preserve"> STYLEREF charPage \* MERGEFORMAT </w:instrText>
    </w:r>
    <w:r w:rsidR="00A973EB">
      <w:fldChar w:fldCharType="separate"/>
    </w:r>
    <w:r w:rsidR="00A973EB">
      <w:rPr>
        <w:noProof/>
      </w:rPr>
      <w:t>Page</w:t>
    </w:r>
    <w:r w:rsidR="00A973EB">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82933" w14:paraId="021BBC7C" w14:textId="77777777" w:rsidTr="00D86897">
      <w:tc>
        <w:tcPr>
          <w:tcW w:w="1701" w:type="dxa"/>
        </w:tcPr>
        <w:p w14:paraId="1FA9090E" w14:textId="3F082F6F" w:rsidR="0008376A" w:rsidRDefault="0008376A">
          <w:pPr>
            <w:pStyle w:val="HeaderEven"/>
            <w:rPr>
              <w:b/>
            </w:rPr>
          </w:pPr>
          <w:r>
            <w:rPr>
              <w:b/>
            </w:rPr>
            <w:fldChar w:fldCharType="begin"/>
          </w:r>
          <w:r>
            <w:rPr>
              <w:b/>
            </w:rPr>
            <w:instrText xml:space="preserve"> STYLEREF CharPartNo \*charformat </w:instrText>
          </w:r>
          <w:r>
            <w:rPr>
              <w:b/>
            </w:rPr>
            <w:fldChar w:fldCharType="separate"/>
          </w:r>
          <w:r w:rsidR="00A973EB">
            <w:rPr>
              <w:b/>
              <w:noProof/>
            </w:rPr>
            <w:t>Part 2</w:t>
          </w:r>
          <w:r>
            <w:rPr>
              <w:b/>
            </w:rPr>
            <w:fldChar w:fldCharType="end"/>
          </w:r>
        </w:p>
      </w:tc>
      <w:tc>
        <w:tcPr>
          <w:tcW w:w="6320" w:type="dxa"/>
        </w:tcPr>
        <w:p w14:paraId="32CD1E9A" w14:textId="6DB2F70A" w:rsidR="0008376A" w:rsidRDefault="0008376A">
          <w:pPr>
            <w:pStyle w:val="HeaderEven"/>
          </w:pPr>
          <w:r>
            <w:rPr>
              <w:noProof/>
            </w:rPr>
            <w:fldChar w:fldCharType="begin"/>
          </w:r>
          <w:r>
            <w:rPr>
              <w:noProof/>
            </w:rPr>
            <w:instrText xml:space="preserve"> STYLEREF CharPartText \*charformat </w:instrText>
          </w:r>
          <w:r>
            <w:rPr>
              <w:noProof/>
            </w:rPr>
            <w:fldChar w:fldCharType="separate"/>
          </w:r>
          <w:r w:rsidR="00A973EB">
            <w:rPr>
              <w:noProof/>
            </w:rPr>
            <w:t>Important concepts</w:t>
          </w:r>
          <w:r>
            <w:rPr>
              <w:noProof/>
            </w:rPr>
            <w:fldChar w:fldCharType="end"/>
          </w:r>
        </w:p>
      </w:tc>
    </w:tr>
    <w:tr w:rsidR="00482933" w14:paraId="17230E8C" w14:textId="77777777" w:rsidTr="00D86897">
      <w:tc>
        <w:tcPr>
          <w:tcW w:w="1701" w:type="dxa"/>
        </w:tcPr>
        <w:p w14:paraId="7D1A9FE9" w14:textId="20919C6C" w:rsidR="0008376A" w:rsidRDefault="0008376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17596B3" w14:textId="34F3CAD1" w:rsidR="0008376A" w:rsidRDefault="0008376A">
          <w:pPr>
            <w:pStyle w:val="HeaderEven"/>
          </w:pPr>
          <w:r>
            <w:fldChar w:fldCharType="begin"/>
          </w:r>
          <w:r>
            <w:instrText xml:space="preserve"> STYLEREF CharDivText \*charformat </w:instrText>
          </w:r>
          <w:r>
            <w:fldChar w:fldCharType="end"/>
          </w:r>
        </w:p>
      </w:tc>
    </w:tr>
    <w:tr w:rsidR="0008376A" w14:paraId="74C0CC02" w14:textId="77777777" w:rsidTr="00D86897">
      <w:trPr>
        <w:cantSplit/>
      </w:trPr>
      <w:tc>
        <w:tcPr>
          <w:tcW w:w="1701" w:type="dxa"/>
          <w:gridSpan w:val="2"/>
          <w:tcBorders>
            <w:bottom w:val="single" w:sz="4" w:space="0" w:color="auto"/>
          </w:tcBorders>
        </w:tcPr>
        <w:p w14:paraId="36F1C935" w14:textId="4B5D69D1" w:rsidR="0008376A" w:rsidRDefault="00A973EB">
          <w:pPr>
            <w:pStyle w:val="HeaderEven6"/>
          </w:pPr>
          <w:r>
            <w:fldChar w:fldCharType="begin"/>
          </w:r>
          <w:r>
            <w:instrText xml:space="preserve"> DOCPROPERTY "Company"  \* MERGEFORMAT </w:instrText>
          </w:r>
          <w:r>
            <w:fldChar w:fldCharType="separate"/>
          </w:r>
          <w:r w:rsidR="005F3B8A">
            <w:t>Section</w:t>
          </w:r>
          <w:r>
            <w:fldChar w:fldCharType="end"/>
          </w:r>
          <w:r w:rsidR="0008376A">
            <w:t xml:space="preserve"> </w:t>
          </w:r>
          <w:r w:rsidR="0008376A">
            <w:rPr>
              <w:noProof/>
            </w:rPr>
            <w:fldChar w:fldCharType="begin"/>
          </w:r>
          <w:r w:rsidR="0008376A">
            <w:rPr>
              <w:noProof/>
            </w:rPr>
            <w:instrText xml:space="preserve"> STYLEREF CharSectNo \*charformat </w:instrText>
          </w:r>
          <w:r w:rsidR="0008376A">
            <w:rPr>
              <w:noProof/>
            </w:rPr>
            <w:fldChar w:fldCharType="separate"/>
          </w:r>
          <w:r>
            <w:rPr>
              <w:noProof/>
            </w:rPr>
            <w:t>9</w:t>
          </w:r>
          <w:r w:rsidR="0008376A">
            <w:rPr>
              <w:noProof/>
            </w:rPr>
            <w:fldChar w:fldCharType="end"/>
          </w:r>
        </w:p>
      </w:tc>
    </w:tr>
  </w:tbl>
  <w:p w14:paraId="235F517A" w14:textId="77777777" w:rsidR="0008376A" w:rsidRDefault="000837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8376A" w14:paraId="352208EA" w14:textId="77777777" w:rsidTr="00D86897">
      <w:tc>
        <w:tcPr>
          <w:tcW w:w="6320" w:type="dxa"/>
        </w:tcPr>
        <w:p w14:paraId="27B5EDB5" w14:textId="5327D0E0" w:rsidR="0008376A" w:rsidRDefault="0008376A">
          <w:pPr>
            <w:pStyle w:val="HeaderEven"/>
            <w:jc w:val="right"/>
          </w:pPr>
          <w:r>
            <w:rPr>
              <w:noProof/>
            </w:rPr>
            <w:fldChar w:fldCharType="begin"/>
          </w:r>
          <w:r>
            <w:rPr>
              <w:noProof/>
            </w:rPr>
            <w:instrText xml:space="preserve"> STYLEREF CharPartText \*charformat </w:instrText>
          </w:r>
          <w:r>
            <w:rPr>
              <w:noProof/>
            </w:rPr>
            <w:fldChar w:fldCharType="separate"/>
          </w:r>
          <w:r w:rsidR="00A973EB">
            <w:rPr>
              <w:noProof/>
            </w:rPr>
            <w:t>Important concepts</w:t>
          </w:r>
          <w:r>
            <w:rPr>
              <w:noProof/>
            </w:rPr>
            <w:fldChar w:fldCharType="end"/>
          </w:r>
        </w:p>
      </w:tc>
      <w:tc>
        <w:tcPr>
          <w:tcW w:w="1701" w:type="dxa"/>
        </w:tcPr>
        <w:p w14:paraId="096CFC91" w14:textId="3C89AB75" w:rsidR="0008376A" w:rsidRDefault="0008376A">
          <w:pPr>
            <w:pStyle w:val="HeaderEven"/>
            <w:jc w:val="right"/>
            <w:rPr>
              <w:b/>
            </w:rPr>
          </w:pPr>
          <w:r>
            <w:rPr>
              <w:b/>
            </w:rPr>
            <w:fldChar w:fldCharType="begin"/>
          </w:r>
          <w:r>
            <w:rPr>
              <w:b/>
            </w:rPr>
            <w:instrText xml:space="preserve"> STYLEREF CharPartNo \*charformat </w:instrText>
          </w:r>
          <w:r>
            <w:rPr>
              <w:b/>
            </w:rPr>
            <w:fldChar w:fldCharType="separate"/>
          </w:r>
          <w:r w:rsidR="00A973EB">
            <w:rPr>
              <w:b/>
              <w:noProof/>
            </w:rPr>
            <w:t>Part 2</w:t>
          </w:r>
          <w:r>
            <w:rPr>
              <w:b/>
            </w:rPr>
            <w:fldChar w:fldCharType="end"/>
          </w:r>
        </w:p>
      </w:tc>
    </w:tr>
    <w:tr w:rsidR="0008376A" w14:paraId="77244E74" w14:textId="77777777" w:rsidTr="00D86897">
      <w:tc>
        <w:tcPr>
          <w:tcW w:w="6320" w:type="dxa"/>
        </w:tcPr>
        <w:p w14:paraId="75BCC25C" w14:textId="35DB179A" w:rsidR="0008376A" w:rsidRDefault="0008376A">
          <w:pPr>
            <w:pStyle w:val="HeaderEven"/>
            <w:jc w:val="right"/>
          </w:pPr>
          <w:r>
            <w:fldChar w:fldCharType="begin"/>
          </w:r>
          <w:r>
            <w:instrText xml:space="preserve"> STYLEREF CharDivText \*charformat </w:instrText>
          </w:r>
          <w:r>
            <w:fldChar w:fldCharType="end"/>
          </w:r>
        </w:p>
      </w:tc>
      <w:tc>
        <w:tcPr>
          <w:tcW w:w="1701" w:type="dxa"/>
        </w:tcPr>
        <w:p w14:paraId="65793CF4" w14:textId="7CCB0B2E" w:rsidR="0008376A" w:rsidRDefault="0008376A">
          <w:pPr>
            <w:pStyle w:val="HeaderEven"/>
            <w:jc w:val="right"/>
            <w:rPr>
              <w:b/>
            </w:rPr>
          </w:pPr>
          <w:r>
            <w:rPr>
              <w:b/>
            </w:rPr>
            <w:fldChar w:fldCharType="begin"/>
          </w:r>
          <w:r>
            <w:rPr>
              <w:b/>
            </w:rPr>
            <w:instrText xml:space="preserve"> STYLEREF CharDivNo \*charformat </w:instrText>
          </w:r>
          <w:r>
            <w:rPr>
              <w:b/>
            </w:rPr>
            <w:fldChar w:fldCharType="end"/>
          </w:r>
        </w:p>
      </w:tc>
    </w:tr>
    <w:tr w:rsidR="0008376A" w14:paraId="02457F9D" w14:textId="77777777" w:rsidTr="00D86897">
      <w:trPr>
        <w:cantSplit/>
      </w:trPr>
      <w:tc>
        <w:tcPr>
          <w:tcW w:w="1701" w:type="dxa"/>
          <w:gridSpan w:val="2"/>
          <w:tcBorders>
            <w:bottom w:val="single" w:sz="4" w:space="0" w:color="auto"/>
          </w:tcBorders>
        </w:tcPr>
        <w:p w14:paraId="46E2B4F9" w14:textId="7ECEE2AD" w:rsidR="0008376A" w:rsidRDefault="00A973EB">
          <w:pPr>
            <w:pStyle w:val="HeaderOdd6"/>
          </w:pPr>
          <w:r>
            <w:fldChar w:fldCharType="begin"/>
          </w:r>
          <w:r>
            <w:instrText xml:space="preserve"> DOCPROPERTY "Company"  \* MERGEFORMAT </w:instrText>
          </w:r>
          <w:r>
            <w:fldChar w:fldCharType="separate"/>
          </w:r>
          <w:r w:rsidR="005F3B8A">
            <w:t>Section</w:t>
          </w:r>
          <w:r>
            <w:fldChar w:fldCharType="end"/>
          </w:r>
          <w:r w:rsidR="0008376A">
            <w:t xml:space="preserve"> </w:t>
          </w:r>
          <w:r w:rsidR="0008376A">
            <w:rPr>
              <w:noProof/>
            </w:rPr>
            <w:fldChar w:fldCharType="begin"/>
          </w:r>
          <w:r w:rsidR="0008376A">
            <w:rPr>
              <w:noProof/>
            </w:rPr>
            <w:instrText xml:space="preserve"> STYLEREF CharSectNo \*charformat </w:instrText>
          </w:r>
          <w:r w:rsidR="0008376A">
            <w:rPr>
              <w:noProof/>
            </w:rPr>
            <w:fldChar w:fldCharType="separate"/>
          </w:r>
          <w:r>
            <w:rPr>
              <w:noProof/>
            </w:rPr>
            <w:t>9</w:t>
          </w:r>
          <w:r w:rsidR="0008376A">
            <w:rPr>
              <w:noProof/>
            </w:rPr>
            <w:fldChar w:fldCharType="end"/>
          </w:r>
        </w:p>
      </w:tc>
    </w:tr>
  </w:tbl>
  <w:p w14:paraId="3F3D64A1" w14:textId="77777777" w:rsidR="0008376A" w:rsidRDefault="000837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8376A" w:rsidRPr="00CB3D59" w14:paraId="6E24ACCA" w14:textId="77777777">
      <w:trPr>
        <w:jc w:val="center"/>
      </w:trPr>
      <w:tc>
        <w:tcPr>
          <w:tcW w:w="1560" w:type="dxa"/>
        </w:tcPr>
        <w:p w14:paraId="4C37F6C4" w14:textId="2FCD2353" w:rsidR="0008376A" w:rsidRPr="00A752AE" w:rsidRDefault="0008376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973EB">
            <w:rPr>
              <w:rFonts w:cs="Arial"/>
              <w:b/>
              <w:noProof/>
              <w:szCs w:val="18"/>
            </w:rPr>
            <w:t>Schedule 1</w:t>
          </w:r>
          <w:r w:rsidRPr="00A752AE">
            <w:rPr>
              <w:rFonts w:cs="Arial"/>
              <w:b/>
              <w:szCs w:val="18"/>
            </w:rPr>
            <w:fldChar w:fldCharType="end"/>
          </w:r>
        </w:p>
      </w:tc>
      <w:tc>
        <w:tcPr>
          <w:tcW w:w="5741" w:type="dxa"/>
        </w:tcPr>
        <w:p w14:paraId="1A0287E9" w14:textId="47B634C5" w:rsidR="0008376A" w:rsidRPr="00A752AE" w:rsidRDefault="0008376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973EB">
            <w:rPr>
              <w:rFonts w:cs="Arial"/>
              <w:noProof/>
              <w:szCs w:val="18"/>
            </w:rPr>
            <w:t>MAI premium classes</w:t>
          </w:r>
          <w:r w:rsidRPr="00A752AE">
            <w:rPr>
              <w:rFonts w:cs="Arial"/>
              <w:szCs w:val="18"/>
            </w:rPr>
            <w:fldChar w:fldCharType="end"/>
          </w:r>
        </w:p>
      </w:tc>
    </w:tr>
    <w:tr w:rsidR="0008376A" w:rsidRPr="00CB3D59" w14:paraId="1B2FFB04" w14:textId="77777777">
      <w:trPr>
        <w:jc w:val="center"/>
      </w:trPr>
      <w:tc>
        <w:tcPr>
          <w:tcW w:w="1560" w:type="dxa"/>
        </w:tcPr>
        <w:p w14:paraId="1005B59A" w14:textId="633E70BE" w:rsidR="0008376A" w:rsidRPr="00A752AE" w:rsidRDefault="0008376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973EB">
            <w:rPr>
              <w:rFonts w:cs="Arial"/>
              <w:b/>
              <w:noProof/>
              <w:szCs w:val="18"/>
            </w:rPr>
            <w:t>Part 1.1</w:t>
          </w:r>
          <w:r w:rsidRPr="00A752AE">
            <w:rPr>
              <w:rFonts w:cs="Arial"/>
              <w:b/>
              <w:szCs w:val="18"/>
            </w:rPr>
            <w:fldChar w:fldCharType="end"/>
          </w:r>
        </w:p>
      </w:tc>
      <w:tc>
        <w:tcPr>
          <w:tcW w:w="5741" w:type="dxa"/>
        </w:tcPr>
        <w:p w14:paraId="46147DEE" w14:textId="33880220" w:rsidR="0008376A" w:rsidRPr="00A752AE" w:rsidRDefault="0008376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973EB">
            <w:rPr>
              <w:rFonts w:cs="Arial"/>
              <w:noProof/>
              <w:szCs w:val="18"/>
            </w:rPr>
            <w:t>Definitions</w:t>
          </w:r>
          <w:r w:rsidRPr="00A752AE">
            <w:rPr>
              <w:rFonts w:cs="Arial"/>
              <w:szCs w:val="18"/>
            </w:rPr>
            <w:fldChar w:fldCharType="end"/>
          </w:r>
        </w:p>
      </w:tc>
    </w:tr>
    <w:tr w:rsidR="0008376A" w:rsidRPr="00CB3D59" w14:paraId="72706952" w14:textId="77777777">
      <w:trPr>
        <w:jc w:val="center"/>
      </w:trPr>
      <w:tc>
        <w:tcPr>
          <w:tcW w:w="7296" w:type="dxa"/>
          <w:gridSpan w:val="2"/>
          <w:tcBorders>
            <w:bottom w:val="single" w:sz="4" w:space="0" w:color="auto"/>
          </w:tcBorders>
        </w:tcPr>
        <w:p w14:paraId="1ABD7CFB" w14:textId="6BBF301C" w:rsidR="0008376A" w:rsidRPr="00A752AE" w:rsidRDefault="0008376A"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973EB">
            <w:rPr>
              <w:rFonts w:cs="Arial"/>
              <w:noProof/>
              <w:szCs w:val="18"/>
            </w:rPr>
            <w:t>1.1</w:t>
          </w:r>
          <w:r w:rsidRPr="00A752AE">
            <w:rPr>
              <w:rFonts w:cs="Arial"/>
              <w:szCs w:val="18"/>
            </w:rPr>
            <w:fldChar w:fldCharType="end"/>
          </w:r>
        </w:p>
      </w:tc>
    </w:tr>
  </w:tbl>
  <w:p w14:paraId="5D855B35" w14:textId="77777777" w:rsidR="0008376A" w:rsidRDefault="000837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8376A" w:rsidRPr="00CB3D59" w14:paraId="061A54DB" w14:textId="77777777">
      <w:trPr>
        <w:jc w:val="center"/>
      </w:trPr>
      <w:tc>
        <w:tcPr>
          <w:tcW w:w="5741" w:type="dxa"/>
        </w:tcPr>
        <w:p w14:paraId="5371E50A" w14:textId="0CA4F3C9" w:rsidR="0008376A" w:rsidRPr="00A752AE" w:rsidRDefault="0008376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973EB">
            <w:rPr>
              <w:rFonts w:cs="Arial"/>
              <w:noProof/>
              <w:szCs w:val="18"/>
            </w:rPr>
            <w:t>MAI premium classes</w:t>
          </w:r>
          <w:r w:rsidRPr="00A752AE">
            <w:rPr>
              <w:rFonts w:cs="Arial"/>
              <w:szCs w:val="18"/>
            </w:rPr>
            <w:fldChar w:fldCharType="end"/>
          </w:r>
        </w:p>
      </w:tc>
      <w:tc>
        <w:tcPr>
          <w:tcW w:w="1560" w:type="dxa"/>
        </w:tcPr>
        <w:p w14:paraId="536C8AEC" w14:textId="54DB44CB" w:rsidR="0008376A" w:rsidRPr="00A752AE" w:rsidRDefault="0008376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973EB">
            <w:rPr>
              <w:rFonts w:cs="Arial"/>
              <w:b/>
              <w:noProof/>
              <w:szCs w:val="18"/>
            </w:rPr>
            <w:t>Schedule 1</w:t>
          </w:r>
          <w:r w:rsidRPr="00A752AE">
            <w:rPr>
              <w:rFonts w:cs="Arial"/>
              <w:b/>
              <w:szCs w:val="18"/>
            </w:rPr>
            <w:fldChar w:fldCharType="end"/>
          </w:r>
        </w:p>
      </w:tc>
    </w:tr>
    <w:tr w:rsidR="0008376A" w:rsidRPr="00CB3D59" w14:paraId="730D16B2" w14:textId="77777777">
      <w:trPr>
        <w:jc w:val="center"/>
      </w:trPr>
      <w:tc>
        <w:tcPr>
          <w:tcW w:w="5741" w:type="dxa"/>
        </w:tcPr>
        <w:p w14:paraId="3B361639" w14:textId="24E5B09D" w:rsidR="0008376A" w:rsidRPr="00A752AE" w:rsidRDefault="0008376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973EB">
            <w:rPr>
              <w:rFonts w:cs="Arial"/>
              <w:noProof/>
              <w:szCs w:val="18"/>
            </w:rPr>
            <w:t>Definitions</w:t>
          </w:r>
          <w:r w:rsidRPr="00A752AE">
            <w:rPr>
              <w:rFonts w:cs="Arial"/>
              <w:szCs w:val="18"/>
            </w:rPr>
            <w:fldChar w:fldCharType="end"/>
          </w:r>
        </w:p>
      </w:tc>
      <w:tc>
        <w:tcPr>
          <w:tcW w:w="1560" w:type="dxa"/>
        </w:tcPr>
        <w:p w14:paraId="24FF592F" w14:textId="3491253A" w:rsidR="0008376A" w:rsidRPr="00A752AE" w:rsidRDefault="0008376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973EB">
            <w:rPr>
              <w:rFonts w:cs="Arial"/>
              <w:b/>
              <w:noProof/>
              <w:szCs w:val="18"/>
            </w:rPr>
            <w:t>Part 1.1</w:t>
          </w:r>
          <w:r w:rsidRPr="00A752AE">
            <w:rPr>
              <w:rFonts w:cs="Arial"/>
              <w:b/>
              <w:szCs w:val="18"/>
            </w:rPr>
            <w:fldChar w:fldCharType="end"/>
          </w:r>
        </w:p>
      </w:tc>
    </w:tr>
    <w:tr w:rsidR="0008376A" w:rsidRPr="00CB3D59" w14:paraId="41485EFD" w14:textId="77777777">
      <w:trPr>
        <w:jc w:val="center"/>
      </w:trPr>
      <w:tc>
        <w:tcPr>
          <w:tcW w:w="7296" w:type="dxa"/>
          <w:gridSpan w:val="2"/>
          <w:tcBorders>
            <w:bottom w:val="single" w:sz="4" w:space="0" w:color="auto"/>
          </w:tcBorders>
        </w:tcPr>
        <w:p w14:paraId="582C9476" w14:textId="2BDD414E" w:rsidR="0008376A" w:rsidRPr="00A752AE" w:rsidRDefault="0008376A"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973EB">
            <w:rPr>
              <w:rFonts w:cs="Arial"/>
              <w:noProof/>
              <w:szCs w:val="18"/>
            </w:rPr>
            <w:t>1.1</w:t>
          </w:r>
          <w:r w:rsidRPr="00A752AE">
            <w:rPr>
              <w:rFonts w:cs="Arial"/>
              <w:szCs w:val="18"/>
            </w:rPr>
            <w:fldChar w:fldCharType="end"/>
          </w:r>
        </w:p>
      </w:tc>
    </w:tr>
  </w:tbl>
  <w:p w14:paraId="1070EDE0" w14:textId="77777777" w:rsidR="0008376A" w:rsidRDefault="0008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B24373"/>
    <w:multiLevelType w:val="multilevel"/>
    <w:tmpl w:val="561AB7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638C7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76962643">
    <w:abstractNumId w:val="27"/>
  </w:num>
  <w:num w:numId="2" w16cid:durableId="769158837">
    <w:abstractNumId w:val="31"/>
  </w:num>
  <w:num w:numId="3" w16cid:durableId="367603817">
    <w:abstractNumId w:val="43"/>
  </w:num>
  <w:num w:numId="4" w16cid:durableId="738215313">
    <w:abstractNumId w:val="30"/>
  </w:num>
  <w:num w:numId="5" w16cid:durableId="1873570922">
    <w:abstractNumId w:val="10"/>
  </w:num>
  <w:num w:numId="6" w16cid:durableId="1510830797">
    <w:abstractNumId w:val="34"/>
  </w:num>
  <w:num w:numId="7" w16cid:durableId="2133667802">
    <w:abstractNumId w:val="29"/>
  </w:num>
  <w:num w:numId="8" w16cid:durableId="398527477">
    <w:abstractNumId w:val="42"/>
  </w:num>
  <w:num w:numId="9" w16cid:durableId="305277544">
    <w:abstractNumId w:val="28"/>
  </w:num>
  <w:num w:numId="10" w16cid:durableId="1538465446">
    <w:abstractNumId w:val="37"/>
  </w:num>
  <w:num w:numId="11" w16cid:durableId="436407859">
    <w:abstractNumId w:val="24"/>
  </w:num>
  <w:num w:numId="12" w16cid:durableId="2054041376">
    <w:abstractNumId w:val="15"/>
  </w:num>
  <w:num w:numId="13" w16cid:durableId="2001224964">
    <w:abstractNumId w:val="38"/>
  </w:num>
  <w:num w:numId="14" w16cid:durableId="885292433">
    <w:abstractNumId w:val="19"/>
  </w:num>
  <w:num w:numId="15" w16cid:durableId="74936972">
    <w:abstractNumId w:val="12"/>
  </w:num>
  <w:num w:numId="16" w16cid:durableId="871726899">
    <w:abstractNumId w:val="44"/>
  </w:num>
  <w:num w:numId="17" w16cid:durableId="1408648395">
    <w:abstractNumId w:val="25"/>
  </w:num>
  <w:num w:numId="18" w16cid:durableId="104663787">
    <w:abstractNumId w:val="45"/>
  </w:num>
  <w:num w:numId="19" w16cid:durableId="2038038532">
    <w:abstractNumId w:val="11"/>
  </w:num>
  <w:num w:numId="20" w16cid:durableId="187837501">
    <w:abstractNumId w:val="26"/>
  </w:num>
  <w:num w:numId="21" w16cid:durableId="1176073627">
    <w:abstractNumId w:val="22"/>
  </w:num>
  <w:num w:numId="22" w16cid:durableId="1997495707">
    <w:abstractNumId w:val="3"/>
  </w:num>
  <w:num w:numId="23" w16cid:durableId="1591811722">
    <w:abstractNumId w:val="20"/>
  </w:num>
  <w:num w:numId="24" w16cid:durableId="1159157019">
    <w:abstractNumId w:val="21"/>
  </w:num>
  <w:num w:numId="25" w16cid:durableId="939069078">
    <w:abstractNumId w:val="35"/>
  </w:num>
  <w:num w:numId="26" w16cid:durableId="1286501870">
    <w:abstractNumId w:val="44"/>
    <w:lvlOverride w:ilvl="0">
      <w:startOverride w:val="1"/>
    </w:lvlOverride>
  </w:num>
  <w:num w:numId="27" w16cid:durableId="33162503">
    <w:abstractNumId w:val="23"/>
  </w:num>
  <w:num w:numId="28" w16cid:durableId="725379844">
    <w:abstractNumId w:val="18"/>
  </w:num>
  <w:num w:numId="29" w16cid:durableId="1995991445">
    <w:abstractNumId w:val="41"/>
  </w:num>
  <w:num w:numId="30" w16cid:durableId="988435326">
    <w:abstractNumId w:val="33"/>
  </w:num>
  <w:num w:numId="31" w16cid:durableId="327754588">
    <w:abstractNumId w:val="28"/>
    <w:lvlOverride w:ilvl="0">
      <w:startOverride w:val="1"/>
    </w:lvlOverride>
  </w:num>
  <w:num w:numId="32" w16cid:durableId="1273241572">
    <w:abstractNumId w:val="16"/>
  </w:num>
  <w:num w:numId="33" w16cid:durableId="1449084928">
    <w:abstractNumId w:val="40"/>
  </w:num>
  <w:num w:numId="34" w16cid:durableId="1349058966">
    <w:abstractNumId w:val="32"/>
  </w:num>
  <w:num w:numId="35" w16cid:durableId="1308362551">
    <w:abstractNumId w:val="9"/>
  </w:num>
  <w:num w:numId="36" w16cid:durableId="1897929719">
    <w:abstractNumId w:val="7"/>
  </w:num>
  <w:num w:numId="37" w16cid:durableId="1612739284">
    <w:abstractNumId w:val="6"/>
  </w:num>
  <w:num w:numId="38" w16cid:durableId="1142969114">
    <w:abstractNumId w:val="5"/>
  </w:num>
  <w:num w:numId="39" w16cid:durableId="308094417">
    <w:abstractNumId w:val="4"/>
  </w:num>
  <w:num w:numId="40" w16cid:durableId="881752139">
    <w:abstractNumId w:val="8"/>
  </w:num>
  <w:num w:numId="41" w16cid:durableId="353189018">
    <w:abstractNumId w:val="2"/>
  </w:num>
  <w:num w:numId="42" w16cid:durableId="271669552">
    <w:abstractNumId w:val="1"/>
  </w:num>
  <w:num w:numId="43" w16cid:durableId="351105259">
    <w:abstractNumId w:val="0"/>
  </w:num>
  <w:num w:numId="44" w16cid:durableId="1538002274">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7D"/>
    <w:rsid w:val="00000C1F"/>
    <w:rsid w:val="00001F93"/>
    <w:rsid w:val="000038FA"/>
    <w:rsid w:val="000043A6"/>
    <w:rsid w:val="000043C2"/>
    <w:rsid w:val="00004573"/>
    <w:rsid w:val="00005825"/>
    <w:rsid w:val="000067C8"/>
    <w:rsid w:val="00007854"/>
    <w:rsid w:val="00010513"/>
    <w:rsid w:val="000112C9"/>
    <w:rsid w:val="0001347E"/>
    <w:rsid w:val="000168AF"/>
    <w:rsid w:val="00016C92"/>
    <w:rsid w:val="0002034F"/>
    <w:rsid w:val="00021066"/>
    <w:rsid w:val="000213EE"/>
    <w:rsid w:val="000215AA"/>
    <w:rsid w:val="00022733"/>
    <w:rsid w:val="00023B06"/>
    <w:rsid w:val="00023D86"/>
    <w:rsid w:val="0002517D"/>
    <w:rsid w:val="00025988"/>
    <w:rsid w:val="00027870"/>
    <w:rsid w:val="0003249F"/>
    <w:rsid w:val="00036A2C"/>
    <w:rsid w:val="000417E5"/>
    <w:rsid w:val="000420DE"/>
    <w:rsid w:val="00043E34"/>
    <w:rsid w:val="000448E6"/>
    <w:rsid w:val="00046C42"/>
    <w:rsid w:val="00046E24"/>
    <w:rsid w:val="00047170"/>
    <w:rsid w:val="00047369"/>
    <w:rsid w:val="000474F2"/>
    <w:rsid w:val="000510F0"/>
    <w:rsid w:val="00052B1E"/>
    <w:rsid w:val="00052D9E"/>
    <w:rsid w:val="00054055"/>
    <w:rsid w:val="000543B9"/>
    <w:rsid w:val="00055507"/>
    <w:rsid w:val="00055E30"/>
    <w:rsid w:val="00060FDC"/>
    <w:rsid w:val="00063210"/>
    <w:rsid w:val="00063D0D"/>
    <w:rsid w:val="00064576"/>
    <w:rsid w:val="000663A1"/>
    <w:rsid w:val="00066F6A"/>
    <w:rsid w:val="000702A7"/>
    <w:rsid w:val="00071C4D"/>
    <w:rsid w:val="0007272F"/>
    <w:rsid w:val="000728DB"/>
    <w:rsid w:val="00072B06"/>
    <w:rsid w:val="00072ED8"/>
    <w:rsid w:val="00075208"/>
    <w:rsid w:val="00076075"/>
    <w:rsid w:val="00076828"/>
    <w:rsid w:val="0007772E"/>
    <w:rsid w:val="000812D4"/>
    <w:rsid w:val="00081D6E"/>
    <w:rsid w:val="00081E86"/>
    <w:rsid w:val="0008211A"/>
    <w:rsid w:val="00082D81"/>
    <w:rsid w:val="0008376A"/>
    <w:rsid w:val="00083A91"/>
    <w:rsid w:val="00083C32"/>
    <w:rsid w:val="000906B4"/>
    <w:rsid w:val="00090C29"/>
    <w:rsid w:val="00091575"/>
    <w:rsid w:val="000921A4"/>
    <w:rsid w:val="00093279"/>
    <w:rsid w:val="000949A6"/>
    <w:rsid w:val="00095165"/>
    <w:rsid w:val="00095E8A"/>
    <w:rsid w:val="0009641C"/>
    <w:rsid w:val="000978C2"/>
    <w:rsid w:val="000A2213"/>
    <w:rsid w:val="000A5DCB"/>
    <w:rsid w:val="000A637A"/>
    <w:rsid w:val="000B16DC"/>
    <w:rsid w:val="000B1A39"/>
    <w:rsid w:val="000B1C99"/>
    <w:rsid w:val="000B3404"/>
    <w:rsid w:val="000B4951"/>
    <w:rsid w:val="000B5685"/>
    <w:rsid w:val="000B729E"/>
    <w:rsid w:val="000C0ADB"/>
    <w:rsid w:val="000C37CC"/>
    <w:rsid w:val="000C4F75"/>
    <w:rsid w:val="000C54A0"/>
    <w:rsid w:val="000C5FEC"/>
    <w:rsid w:val="000C687C"/>
    <w:rsid w:val="000C70D7"/>
    <w:rsid w:val="000C7832"/>
    <w:rsid w:val="000C7850"/>
    <w:rsid w:val="000D0E45"/>
    <w:rsid w:val="000D3E40"/>
    <w:rsid w:val="000D4D59"/>
    <w:rsid w:val="000D54F2"/>
    <w:rsid w:val="000D77AE"/>
    <w:rsid w:val="000E1A62"/>
    <w:rsid w:val="000E220C"/>
    <w:rsid w:val="000E29CA"/>
    <w:rsid w:val="000E5145"/>
    <w:rsid w:val="000E576D"/>
    <w:rsid w:val="000E6026"/>
    <w:rsid w:val="000F2735"/>
    <w:rsid w:val="000F329E"/>
    <w:rsid w:val="001002C3"/>
    <w:rsid w:val="00101528"/>
    <w:rsid w:val="00101C6A"/>
    <w:rsid w:val="001033CB"/>
    <w:rsid w:val="001047CB"/>
    <w:rsid w:val="001053AD"/>
    <w:rsid w:val="001058DF"/>
    <w:rsid w:val="00105B14"/>
    <w:rsid w:val="00106281"/>
    <w:rsid w:val="00106C9A"/>
    <w:rsid w:val="00107F85"/>
    <w:rsid w:val="001114D0"/>
    <w:rsid w:val="00113187"/>
    <w:rsid w:val="00115447"/>
    <w:rsid w:val="00116A3F"/>
    <w:rsid w:val="00116D3C"/>
    <w:rsid w:val="0012099E"/>
    <w:rsid w:val="001235D9"/>
    <w:rsid w:val="00123C4B"/>
    <w:rsid w:val="00125FAF"/>
    <w:rsid w:val="00126287"/>
    <w:rsid w:val="0013046D"/>
    <w:rsid w:val="001315A1"/>
    <w:rsid w:val="00132957"/>
    <w:rsid w:val="001343A6"/>
    <w:rsid w:val="0013531D"/>
    <w:rsid w:val="0013633F"/>
    <w:rsid w:val="00136354"/>
    <w:rsid w:val="00136797"/>
    <w:rsid w:val="00136FBE"/>
    <w:rsid w:val="00145138"/>
    <w:rsid w:val="00147781"/>
    <w:rsid w:val="00150851"/>
    <w:rsid w:val="00150898"/>
    <w:rsid w:val="00151FAE"/>
    <w:rsid w:val="001520FC"/>
    <w:rsid w:val="001533C1"/>
    <w:rsid w:val="00153482"/>
    <w:rsid w:val="00154977"/>
    <w:rsid w:val="00155BB7"/>
    <w:rsid w:val="00156000"/>
    <w:rsid w:val="001570F0"/>
    <w:rsid w:val="001572E4"/>
    <w:rsid w:val="00160DF7"/>
    <w:rsid w:val="00162FEC"/>
    <w:rsid w:val="00164204"/>
    <w:rsid w:val="00165B75"/>
    <w:rsid w:val="00167DBA"/>
    <w:rsid w:val="001717B0"/>
    <w:rsid w:val="0017182C"/>
    <w:rsid w:val="00171E2D"/>
    <w:rsid w:val="00172D13"/>
    <w:rsid w:val="0017301C"/>
    <w:rsid w:val="0017383B"/>
    <w:rsid w:val="001741FF"/>
    <w:rsid w:val="001761DA"/>
    <w:rsid w:val="00176AE6"/>
    <w:rsid w:val="00180311"/>
    <w:rsid w:val="00180FD3"/>
    <w:rsid w:val="001815FB"/>
    <w:rsid w:val="00181D8C"/>
    <w:rsid w:val="00183E17"/>
    <w:rsid w:val="001842C7"/>
    <w:rsid w:val="00185D27"/>
    <w:rsid w:val="0019297A"/>
    <w:rsid w:val="00192D1E"/>
    <w:rsid w:val="00193D6B"/>
    <w:rsid w:val="00194BE3"/>
    <w:rsid w:val="00195101"/>
    <w:rsid w:val="001A2CFB"/>
    <w:rsid w:val="001A351C"/>
    <w:rsid w:val="001A380A"/>
    <w:rsid w:val="001A381B"/>
    <w:rsid w:val="001A3B6D"/>
    <w:rsid w:val="001A6014"/>
    <w:rsid w:val="001A6F83"/>
    <w:rsid w:val="001A757D"/>
    <w:rsid w:val="001A7F45"/>
    <w:rsid w:val="001B1114"/>
    <w:rsid w:val="001B12AE"/>
    <w:rsid w:val="001B1878"/>
    <w:rsid w:val="001B1AD4"/>
    <w:rsid w:val="001B218A"/>
    <w:rsid w:val="001B3960"/>
    <w:rsid w:val="001B3B53"/>
    <w:rsid w:val="001B449A"/>
    <w:rsid w:val="001B5459"/>
    <w:rsid w:val="001B5708"/>
    <w:rsid w:val="001B5A8C"/>
    <w:rsid w:val="001B6311"/>
    <w:rsid w:val="001B6BC0"/>
    <w:rsid w:val="001C0BFF"/>
    <w:rsid w:val="001C1644"/>
    <w:rsid w:val="001C1AE3"/>
    <w:rsid w:val="001C29CC"/>
    <w:rsid w:val="001C4A67"/>
    <w:rsid w:val="001C547E"/>
    <w:rsid w:val="001D09C2"/>
    <w:rsid w:val="001D15FB"/>
    <w:rsid w:val="001D1702"/>
    <w:rsid w:val="001D1D51"/>
    <w:rsid w:val="001D1F85"/>
    <w:rsid w:val="001D1FFB"/>
    <w:rsid w:val="001D312C"/>
    <w:rsid w:val="001D53F0"/>
    <w:rsid w:val="001D56B4"/>
    <w:rsid w:val="001D5A18"/>
    <w:rsid w:val="001D6079"/>
    <w:rsid w:val="001D70BB"/>
    <w:rsid w:val="001D73DF"/>
    <w:rsid w:val="001E0780"/>
    <w:rsid w:val="001E0BBC"/>
    <w:rsid w:val="001E1776"/>
    <w:rsid w:val="001E1A01"/>
    <w:rsid w:val="001E3899"/>
    <w:rsid w:val="001E3CC1"/>
    <w:rsid w:val="001E3E75"/>
    <w:rsid w:val="001E4654"/>
    <w:rsid w:val="001E4694"/>
    <w:rsid w:val="001E5D92"/>
    <w:rsid w:val="001E61F7"/>
    <w:rsid w:val="001E79DB"/>
    <w:rsid w:val="001F083D"/>
    <w:rsid w:val="001F1A67"/>
    <w:rsid w:val="001F30A1"/>
    <w:rsid w:val="001F33C9"/>
    <w:rsid w:val="001F3DB4"/>
    <w:rsid w:val="001F55E5"/>
    <w:rsid w:val="001F5A2B"/>
    <w:rsid w:val="001F6C03"/>
    <w:rsid w:val="00200557"/>
    <w:rsid w:val="002012E6"/>
    <w:rsid w:val="0020141A"/>
    <w:rsid w:val="0020161D"/>
    <w:rsid w:val="00202420"/>
    <w:rsid w:val="00203278"/>
    <w:rsid w:val="00203655"/>
    <w:rsid w:val="002037B2"/>
    <w:rsid w:val="00203EF0"/>
    <w:rsid w:val="00204E34"/>
    <w:rsid w:val="0020610F"/>
    <w:rsid w:val="00206BE7"/>
    <w:rsid w:val="00212007"/>
    <w:rsid w:val="0021290D"/>
    <w:rsid w:val="0021307F"/>
    <w:rsid w:val="002160E5"/>
    <w:rsid w:val="00217C8C"/>
    <w:rsid w:val="002208AF"/>
    <w:rsid w:val="0022149F"/>
    <w:rsid w:val="002222A8"/>
    <w:rsid w:val="00222D7A"/>
    <w:rsid w:val="00222D8A"/>
    <w:rsid w:val="00225307"/>
    <w:rsid w:val="002262D3"/>
    <w:rsid w:val="002263A5"/>
    <w:rsid w:val="002264E7"/>
    <w:rsid w:val="00226BDB"/>
    <w:rsid w:val="002278DB"/>
    <w:rsid w:val="00231509"/>
    <w:rsid w:val="002337F1"/>
    <w:rsid w:val="00233C02"/>
    <w:rsid w:val="00234574"/>
    <w:rsid w:val="00234C2C"/>
    <w:rsid w:val="00234EE0"/>
    <w:rsid w:val="002366FD"/>
    <w:rsid w:val="00240765"/>
    <w:rsid w:val="002409EB"/>
    <w:rsid w:val="00243BAD"/>
    <w:rsid w:val="00244456"/>
    <w:rsid w:val="00245AC9"/>
    <w:rsid w:val="00246653"/>
    <w:rsid w:val="00246F34"/>
    <w:rsid w:val="002502C9"/>
    <w:rsid w:val="00253336"/>
    <w:rsid w:val="0025461F"/>
    <w:rsid w:val="00256093"/>
    <w:rsid w:val="00256E0F"/>
    <w:rsid w:val="00260019"/>
    <w:rsid w:val="0026001C"/>
    <w:rsid w:val="002612B5"/>
    <w:rsid w:val="00261E02"/>
    <w:rsid w:val="00263163"/>
    <w:rsid w:val="002639DD"/>
    <w:rsid w:val="00264141"/>
    <w:rsid w:val="002644DC"/>
    <w:rsid w:val="002659DB"/>
    <w:rsid w:val="0026775D"/>
    <w:rsid w:val="00267BE3"/>
    <w:rsid w:val="002702D4"/>
    <w:rsid w:val="0027108C"/>
    <w:rsid w:val="00272968"/>
    <w:rsid w:val="00273B6D"/>
    <w:rsid w:val="00275CE9"/>
    <w:rsid w:val="00282B0F"/>
    <w:rsid w:val="00282E88"/>
    <w:rsid w:val="00287065"/>
    <w:rsid w:val="002873EA"/>
    <w:rsid w:val="00290D70"/>
    <w:rsid w:val="00292FC0"/>
    <w:rsid w:val="00293A1B"/>
    <w:rsid w:val="0029608D"/>
    <w:rsid w:val="002964A4"/>
    <w:rsid w:val="0029692F"/>
    <w:rsid w:val="00296EE5"/>
    <w:rsid w:val="00297680"/>
    <w:rsid w:val="0029781C"/>
    <w:rsid w:val="002A3505"/>
    <w:rsid w:val="002A5923"/>
    <w:rsid w:val="002A6196"/>
    <w:rsid w:val="002A6F4D"/>
    <w:rsid w:val="002A756E"/>
    <w:rsid w:val="002B0FFB"/>
    <w:rsid w:val="002B2682"/>
    <w:rsid w:val="002B2AEB"/>
    <w:rsid w:val="002B3612"/>
    <w:rsid w:val="002B378B"/>
    <w:rsid w:val="002B3DCD"/>
    <w:rsid w:val="002B58FC"/>
    <w:rsid w:val="002C0B75"/>
    <w:rsid w:val="002C0F8C"/>
    <w:rsid w:val="002C27ED"/>
    <w:rsid w:val="002C2ECA"/>
    <w:rsid w:val="002C5DB3"/>
    <w:rsid w:val="002C6B5E"/>
    <w:rsid w:val="002C7985"/>
    <w:rsid w:val="002D09CB"/>
    <w:rsid w:val="002D18F5"/>
    <w:rsid w:val="002D2152"/>
    <w:rsid w:val="002D26D9"/>
    <w:rsid w:val="002D26EA"/>
    <w:rsid w:val="002D2A42"/>
    <w:rsid w:val="002D2FE5"/>
    <w:rsid w:val="002D6056"/>
    <w:rsid w:val="002D6C4F"/>
    <w:rsid w:val="002E01EA"/>
    <w:rsid w:val="002E12DC"/>
    <w:rsid w:val="002E144D"/>
    <w:rsid w:val="002E2B1A"/>
    <w:rsid w:val="002E2F6B"/>
    <w:rsid w:val="002E68F4"/>
    <w:rsid w:val="002E6E0C"/>
    <w:rsid w:val="002F0D2C"/>
    <w:rsid w:val="002F43A0"/>
    <w:rsid w:val="002F57FA"/>
    <w:rsid w:val="002F696A"/>
    <w:rsid w:val="003003EC"/>
    <w:rsid w:val="0030225D"/>
    <w:rsid w:val="00302AF0"/>
    <w:rsid w:val="00303D53"/>
    <w:rsid w:val="00305128"/>
    <w:rsid w:val="003064EF"/>
    <w:rsid w:val="003068E0"/>
    <w:rsid w:val="00306E38"/>
    <w:rsid w:val="003106FC"/>
    <w:rsid w:val="003108D1"/>
    <w:rsid w:val="0031143F"/>
    <w:rsid w:val="00312D14"/>
    <w:rsid w:val="00314266"/>
    <w:rsid w:val="003152A2"/>
    <w:rsid w:val="00315B62"/>
    <w:rsid w:val="003162AD"/>
    <w:rsid w:val="00316F9A"/>
    <w:rsid w:val="003179E8"/>
    <w:rsid w:val="00317FDC"/>
    <w:rsid w:val="0032063D"/>
    <w:rsid w:val="00320B4D"/>
    <w:rsid w:val="00324F97"/>
    <w:rsid w:val="003310EE"/>
    <w:rsid w:val="00331203"/>
    <w:rsid w:val="0033192E"/>
    <w:rsid w:val="00333014"/>
    <w:rsid w:val="003344D3"/>
    <w:rsid w:val="00334522"/>
    <w:rsid w:val="003351FA"/>
    <w:rsid w:val="00336345"/>
    <w:rsid w:val="0033680F"/>
    <w:rsid w:val="003407CB"/>
    <w:rsid w:val="00342ADF"/>
    <w:rsid w:val="00342E3D"/>
    <w:rsid w:val="0034336E"/>
    <w:rsid w:val="00343E4A"/>
    <w:rsid w:val="0034583F"/>
    <w:rsid w:val="00346A74"/>
    <w:rsid w:val="003478D2"/>
    <w:rsid w:val="00347FE2"/>
    <w:rsid w:val="00351E47"/>
    <w:rsid w:val="003528EA"/>
    <w:rsid w:val="00353FF3"/>
    <w:rsid w:val="00354644"/>
    <w:rsid w:val="00355AD9"/>
    <w:rsid w:val="00356586"/>
    <w:rsid w:val="00357064"/>
    <w:rsid w:val="003574D1"/>
    <w:rsid w:val="00357B54"/>
    <w:rsid w:val="00360B45"/>
    <w:rsid w:val="003646D5"/>
    <w:rsid w:val="00364998"/>
    <w:rsid w:val="00364C4C"/>
    <w:rsid w:val="003659ED"/>
    <w:rsid w:val="00366633"/>
    <w:rsid w:val="003700C0"/>
    <w:rsid w:val="0037058D"/>
    <w:rsid w:val="00370AE8"/>
    <w:rsid w:val="00371476"/>
    <w:rsid w:val="00372393"/>
    <w:rsid w:val="00372EF0"/>
    <w:rsid w:val="00375828"/>
    <w:rsid w:val="0037590A"/>
    <w:rsid w:val="00375B2E"/>
    <w:rsid w:val="00377D1F"/>
    <w:rsid w:val="00381D64"/>
    <w:rsid w:val="00381E75"/>
    <w:rsid w:val="003820F5"/>
    <w:rsid w:val="00385097"/>
    <w:rsid w:val="00387D75"/>
    <w:rsid w:val="00390AF0"/>
    <w:rsid w:val="00391C6F"/>
    <w:rsid w:val="00391EDD"/>
    <w:rsid w:val="00395404"/>
    <w:rsid w:val="00396226"/>
    <w:rsid w:val="00396646"/>
    <w:rsid w:val="00396B0E"/>
    <w:rsid w:val="003A0664"/>
    <w:rsid w:val="003A0E62"/>
    <w:rsid w:val="003A160E"/>
    <w:rsid w:val="003A44BB"/>
    <w:rsid w:val="003A5525"/>
    <w:rsid w:val="003A598E"/>
    <w:rsid w:val="003A61A9"/>
    <w:rsid w:val="003A779F"/>
    <w:rsid w:val="003A7A6C"/>
    <w:rsid w:val="003B01DB"/>
    <w:rsid w:val="003B0F80"/>
    <w:rsid w:val="003B2C7A"/>
    <w:rsid w:val="003B31A1"/>
    <w:rsid w:val="003B6BA2"/>
    <w:rsid w:val="003C0702"/>
    <w:rsid w:val="003C0A3A"/>
    <w:rsid w:val="003C20A5"/>
    <w:rsid w:val="003C463A"/>
    <w:rsid w:val="003C50A2"/>
    <w:rsid w:val="003C6DE9"/>
    <w:rsid w:val="003C6EDF"/>
    <w:rsid w:val="003C7B9C"/>
    <w:rsid w:val="003D0740"/>
    <w:rsid w:val="003D1FFA"/>
    <w:rsid w:val="003D4AAE"/>
    <w:rsid w:val="003D4C75"/>
    <w:rsid w:val="003D7254"/>
    <w:rsid w:val="003E0653"/>
    <w:rsid w:val="003E3345"/>
    <w:rsid w:val="003E6B00"/>
    <w:rsid w:val="003E7C9B"/>
    <w:rsid w:val="003E7FDB"/>
    <w:rsid w:val="003F010D"/>
    <w:rsid w:val="003F06EE"/>
    <w:rsid w:val="003F325F"/>
    <w:rsid w:val="003F3B87"/>
    <w:rsid w:val="003F4912"/>
    <w:rsid w:val="003F5904"/>
    <w:rsid w:val="003F7237"/>
    <w:rsid w:val="003F7A0F"/>
    <w:rsid w:val="003F7DB2"/>
    <w:rsid w:val="004005F0"/>
    <w:rsid w:val="00400E80"/>
    <w:rsid w:val="0040136F"/>
    <w:rsid w:val="00401C85"/>
    <w:rsid w:val="00402BA6"/>
    <w:rsid w:val="004033B4"/>
    <w:rsid w:val="00403410"/>
    <w:rsid w:val="00403645"/>
    <w:rsid w:val="0040482C"/>
    <w:rsid w:val="00404FE0"/>
    <w:rsid w:val="004066DB"/>
    <w:rsid w:val="0040676D"/>
    <w:rsid w:val="00410C20"/>
    <w:rsid w:val="004110BA"/>
    <w:rsid w:val="00416A4F"/>
    <w:rsid w:val="0042014F"/>
    <w:rsid w:val="004210F2"/>
    <w:rsid w:val="00421167"/>
    <w:rsid w:val="004211C9"/>
    <w:rsid w:val="0042159E"/>
    <w:rsid w:val="004219EC"/>
    <w:rsid w:val="00422126"/>
    <w:rsid w:val="00423AC4"/>
    <w:rsid w:val="00424982"/>
    <w:rsid w:val="004251F1"/>
    <w:rsid w:val="00425961"/>
    <w:rsid w:val="004270EF"/>
    <w:rsid w:val="0042799E"/>
    <w:rsid w:val="00433064"/>
    <w:rsid w:val="00433E08"/>
    <w:rsid w:val="00435893"/>
    <w:rsid w:val="004358D2"/>
    <w:rsid w:val="0044067A"/>
    <w:rsid w:val="00440811"/>
    <w:rsid w:val="004409A1"/>
    <w:rsid w:val="0044375C"/>
    <w:rsid w:val="00443ADD"/>
    <w:rsid w:val="00444785"/>
    <w:rsid w:val="00445029"/>
    <w:rsid w:val="00445F7F"/>
    <w:rsid w:val="00447B1D"/>
    <w:rsid w:val="00447C31"/>
    <w:rsid w:val="00450F55"/>
    <w:rsid w:val="004510ED"/>
    <w:rsid w:val="004536AA"/>
    <w:rsid w:val="0045398D"/>
    <w:rsid w:val="00454062"/>
    <w:rsid w:val="00454168"/>
    <w:rsid w:val="00455046"/>
    <w:rsid w:val="00456074"/>
    <w:rsid w:val="00457476"/>
    <w:rsid w:val="0046076C"/>
    <w:rsid w:val="00460A67"/>
    <w:rsid w:val="004614FB"/>
    <w:rsid w:val="00461D78"/>
    <w:rsid w:val="004622F3"/>
    <w:rsid w:val="00462B21"/>
    <w:rsid w:val="00464372"/>
    <w:rsid w:val="0047081A"/>
    <w:rsid w:val="00470B8D"/>
    <w:rsid w:val="00470CE7"/>
    <w:rsid w:val="00471CBC"/>
    <w:rsid w:val="00472639"/>
    <w:rsid w:val="00472DD2"/>
    <w:rsid w:val="00475017"/>
    <w:rsid w:val="004751D3"/>
    <w:rsid w:val="00475F03"/>
    <w:rsid w:val="00476557"/>
    <w:rsid w:val="00476DCA"/>
    <w:rsid w:val="00477288"/>
    <w:rsid w:val="00480A8E"/>
    <w:rsid w:val="00482933"/>
    <w:rsid w:val="00482C91"/>
    <w:rsid w:val="004840DC"/>
    <w:rsid w:val="004843BD"/>
    <w:rsid w:val="0048525E"/>
    <w:rsid w:val="004858A2"/>
    <w:rsid w:val="00486FE2"/>
    <w:rsid w:val="004875BE"/>
    <w:rsid w:val="00487D5F"/>
    <w:rsid w:val="00491236"/>
    <w:rsid w:val="00491D7C"/>
    <w:rsid w:val="00493ED5"/>
    <w:rsid w:val="00494267"/>
    <w:rsid w:val="0049549C"/>
    <w:rsid w:val="00495F81"/>
    <w:rsid w:val="0049610B"/>
    <w:rsid w:val="00497D33"/>
    <w:rsid w:val="004A1E58"/>
    <w:rsid w:val="004A2333"/>
    <w:rsid w:val="004A2FDC"/>
    <w:rsid w:val="004A32C4"/>
    <w:rsid w:val="004A3D43"/>
    <w:rsid w:val="004A3F43"/>
    <w:rsid w:val="004A47B3"/>
    <w:rsid w:val="004A4C32"/>
    <w:rsid w:val="004A6231"/>
    <w:rsid w:val="004A667A"/>
    <w:rsid w:val="004B0E9D"/>
    <w:rsid w:val="004B5B98"/>
    <w:rsid w:val="004B5F1C"/>
    <w:rsid w:val="004C1505"/>
    <w:rsid w:val="004C1651"/>
    <w:rsid w:val="004C2A16"/>
    <w:rsid w:val="004C420F"/>
    <w:rsid w:val="004C724A"/>
    <w:rsid w:val="004D0A67"/>
    <w:rsid w:val="004D20D0"/>
    <w:rsid w:val="004D21D1"/>
    <w:rsid w:val="004D2360"/>
    <w:rsid w:val="004D2D14"/>
    <w:rsid w:val="004D3E5F"/>
    <w:rsid w:val="004D4359"/>
    <w:rsid w:val="004D4557"/>
    <w:rsid w:val="004D4E61"/>
    <w:rsid w:val="004D53B8"/>
    <w:rsid w:val="004D611D"/>
    <w:rsid w:val="004D729B"/>
    <w:rsid w:val="004D7C9A"/>
    <w:rsid w:val="004E0390"/>
    <w:rsid w:val="004E07BB"/>
    <w:rsid w:val="004E1E71"/>
    <w:rsid w:val="004E2567"/>
    <w:rsid w:val="004E2568"/>
    <w:rsid w:val="004E2A1E"/>
    <w:rsid w:val="004E3576"/>
    <w:rsid w:val="004E5481"/>
    <w:rsid w:val="004F1050"/>
    <w:rsid w:val="004F252E"/>
    <w:rsid w:val="004F25B3"/>
    <w:rsid w:val="004F4017"/>
    <w:rsid w:val="004F4157"/>
    <w:rsid w:val="004F4802"/>
    <w:rsid w:val="004F4BCB"/>
    <w:rsid w:val="004F4BF8"/>
    <w:rsid w:val="004F54BA"/>
    <w:rsid w:val="004F6688"/>
    <w:rsid w:val="00501495"/>
    <w:rsid w:val="00503AE3"/>
    <w:rsid w:val="0050538F"/>
    <w:rsid w:val="005055B0"/>
    <w:rsid w:val="0050662E"/>
    <w:rsid w:val="00512972"/>
    <w:rsid w:val="00514F25"/>
    <w:rsid w:val="00515082"/>
    <w:rsid w:val="00515D68"/>
    <w:rsid w:val="00515E14"/>
    <w:rsid w:val="005171DC"/>
    <w:rsid w:val="00517612"/>
    <w:rsid w:val="00520131"/>
    <w:rsid w:val="0052097D"/>
    <w:rsid w:val="005218EE"/>
    <w:rsid w:val="00522702"/>
    <w:rsid w:val="005249B7"/>
    <w:rsid w:val="00524CBC"/>
    <w:rsid w:val="005259D1"/>
    <w:rsid w:val="00531AF6"/>
    <w:rsid w:val="00531B2B"/>
    <w:rsid w:val="005337EA"/>
    <w:rsid w:val="0053499F"/>
    <w:rsid w:val="00536678"/>
    <w:rsid w:val="00542E65"/>
    <w:rsid w:val="00543739"/>
    <w:rsid w:val="0054378B"/>
    <w:rsid w:val="00544938"/>
    <w:rsid w:val="005474CA"/>
    <w:rsid w:val="00547C35"/>
    <w:rsid w:val="00552735"/>
    <w:rsid w:val="00552FFB"/>
    <w:rsid w:val="00553EA6"/>
    <w:rsid w:val="00555B5B"/>
    <w:rsid w:val="005569CD"/>
    <w:rsid w:val="00562392"/>
    <w:rsid w:val="005623AE"/>
    <w:rsid w:val="0056302F"/>
    <w:rsid w:val="00564CE7"/>
    <w:rsid w:val="00564D48"/>
    <w:rsid w:val="00565546"/>
    <w:rsid w:val="005658C2"/>
    <w:rsid w:val="00567644"/>
    <w:rsid w:val="00567CF2"/>
    <w:rsid w:val="00570680"/>
    <w:rsid w:val="005710D7"/>
    <w:rsid w:val="00571859"/>
    <w:rsid w:val="00571CA5"/>
    <w:rsid w:val="00573DAF"/>
    <w:rsid w:val="00574382"/>
    <w:rsid w:val="00574534"/>
    <w:rsid w:val="00575646"/>
    <w:rsid w:val="005768D1"/>
    <w:rsid w:val="00577D30"/>
    <w:rsid w:val="00580EBD"/>
    <w:rsid w:val="00581E6F"/>
    <w:rsid w:val="00581FED"/>
    <w:rsid w:val="005840DF"/>
    <w:rsid w:val="00585514"/>
    <w:rsid w:val="0058561C"/>
    <w:rsid w:val="005859BF"/>
    <w:rsid w:val="005863B5"/>
    <w:rsid w:val="00587403"/>
    <w:rsid w:val="00587DFD"/>
    <w:rsid w:val="00590BA8"/>
    <w:rsid w:val="00591BE1"/>
    <w:rsid w:val="0059278C"/>
    <w:rsid w:val="0059316B"/>
    <w:rsid w:val="00595EBD"/>
    <w:rsid w:val="005962AF"/>
    <w:rsid w:val="005966AF"/>
    <w:rsid w:val="00596BB3"/>
    <w:rsid w:val="00597EE5"/>
    <w:rsid w:val="005A0E98"/>
    <w:rsid w:val="005A17CC"/>
    <w:rsid w:val="005A3C3E"/>
    <w:rsid w:val="005A4EE0"/>
    <w:rsid w:val="005A543B"/>
    <w:rsid w:val="005A5916"/>
    <w:rsid w:val="005B1176"/>
    <w:rsid w:val="005B3EC5"/>
    <w:rsid w:val="005B46A1"/>
    <w:rsid w:val="005B47DC"/>
    <w:rsid w:val="005B6C66"/>
    <w:rsid w:val="005B7611"/>
    <w:rsid w:val="005C0242"/>
    <w:rsid w:val="005C0BE7"/>
    <w:rsid w:val="005C1012"/>
    <w:rsid w:val="005C28C5"/>
    <w:rsid w:val="005C297B"/>
    <w:rsid w:val="005C2E30"/>
    <w:rsid w:val="005C3189"/>
    <w:rsid w:val="005C3498"/>
    <w:rsid w:val="005C4167"/>
    <w:rsid w:val="005C4AF9"/>
    <w:rsid w:val="005C5AD3"/>
    <w:rsid w:val="005C5F00"/>
    <w:rsid w:val="005D0B9E"/>
    <w:rsid w:val="005D1B78"/>
    <w:rsid w:val="005D2702"/>
    <w:rsid w:val="005D3BC7"/>
    <w:rsid w:val="005D425A"/>
    <w:rsid w:val="005D47C0"/>
    <w:rsid w:val="005D4A32"/>
    <w:rsid w:val="005D69C3"/>
    <w:rsid w:val="005D6F95"/>
    <w:rsid w:val="005E077A"/>
    <w:rsid w:val="005E0ECD"/>
    <w:rsid w:val="005E14CB"/>
    <w:rsid w:val="005E1B71"/>
    <w:rsid w:val="005E2A58"/>
    <w:rsid w:val="005E2F6F"/>
    <w:rsid w:val="005E3659"/>
    <w:rsid w:val="005E3C89"/>
    <w:rsid w:val="005E5186"/>
    <w:rsid w:val="005E5B8F"/>
    <w:rsid w:val="005E64A6"/>
    <w:rsid w:val="005E749D"/>
    <w:rsid w:val="005F1275"/>
    <w:rsid w:val="005F3B8A"/>
    <w:rsid w:val="005F56A8"/>
    <w:rsid w:val="005F58E5"/>
    <w:rsid w:val="005F64E7"/>
    <w:rsid w:val="0060047E"/>
    <w:rsid w:val="00600B4E"/>
    <w:rsid w:val="006065D7"/>
    <w:rsid w:val="006065EF"/>
    <w:rsid w:val="006065F2"/>
    <w:rsid w:val="00610E78"/>
    <w:rsid w:val="00611C3B"/>
    <w:rsid w:val="00612BA6"/>
    <w:rsid w:val="00614787"/>
    <w:rsid w:val="00616C21"/>
    <w:rsid w:val="006218E9"/>
    <w:rsid w:val="00622136"/>
    <w:rsid w:val="006236B5"/>
    <w:rsid w:val="006253B7"/>
    <w:rsid w:val="00625E59"/>
    <w:rsid w:val="00627B80"/>
    <w:rsid w:val="00627C07"/>
    <w:rsid w:val="006320A3"/>
    <w:rsid w:val="00633E28"/>
    <w:rsid w:val="00633E5B"/>
    <w:rsid w:val="00635B0D"/>
    <w:rsid w:val="00637E62"/>
    <w:rsid w:val="00641410"/>
    <w:rsid w:val="00641C9A"/>
    <w:rsid w:val="00641CC6"/>
    <w:rsid w:val="00643F71"/>
    <w:rsid w:val="00645696"/>
    <w:rsid w:val="00646AED"/>
    <w:rsid w:val="00646CA9"/>
    <w:rsid w:val="006473C1"/>
    <w:rsid w:val="00650705"/>
    <w:rsid w:val="00651669"/>
    <w:rsid w:val="00651FCE"/>
    <w:rsid w:val="006522E1"/>
    <w:rsid w:val="00654C2B"/>
    <w:rsid w:val="006564B9"/>
    <w:rsid w:val="0065699D"/>
    <w:rsid w:val="00656C84"/>
    <w:rsid w:val="00656D8E"/>
    <w:rsid w:val="006570FC"/>
    <w:rsid w:val="00660E96"/>
    <w:rsid w:val="006625D8"/>
    <w:rsid w:val="00667638"/>
    <w:rsid w:val="00671280"/>
    <w:rsid w:val="00671736"/>
    <w:rsid w:val="00671AC6"/>
    <w:rsid w:val="00672307"/>
    <w:rsid w:val="00673674"/>
    <w:rsid w:val="00675E77"/>
    <w:rsid w:val="00680547"/>
    <w:rsid w:val="00680887"/>
    <w:rsid w:val="00680A95"/>
    <w:rsid w:val="00683274"/>
    <w:rsid w:val="0068447C"/>
    <w:rsid w:val="00685233"/>
    <w:rsid w:val="006855FC"/>
    <w:rsid w:val="00686C07"/>
    <w:rsid w:val="00687A2B"/>
    <w:rsid w:val="00690175"/>
    <w:rsid w:val="00692269"/>
    <w:rsid w:val="006929DC"/>
    <w:rsid w:val="00692FB5"/>
    <w:rsid w:val="006930F3"/>
    <w:rsid w:val="00693C2C"/>
    <w:rsid w:val="00697B12"/>
    <w:rsid w:val="006A08F5"/>
    <w:rsid w:val="006B59DD"/>
    <w:rsid w:val="006C02F6"/>
    <w:rsid w:val="006C08D3"/>
    <w:rsid w:val="006C265F"/>
    <w:rsid w:val="006C332F"/>
    <w:rsid w:val="006C3D19"/>
    <w:rsid w:val="006C552F"/>
    <w:rsid w:val="006C66B5"/>
    <w:rsid w:val="006C79E0"/>
    <w:rsid w:val="006C7AAC"/>
    <w:rsid w:val="006D0757"/>
    <w:rsid w:val="006D07E0"/>
    <w:rsid w:val="006D2B8D"/>
    <w:rsid w:val="006D3568"/>
    <w:rsid w:val="006D3AEF"/>
    <w:rsid w:val="006D48C8"/>
    <w:rsid w:val="006D5A84"/>
    <w:rsid w:val="006D6F75"/>
    <w:rsid w:val="006D7120"/>
    <w:rsid w:val="006D756E"/>
    <w:rsid w:val="006E0A8E"/>
    <w:rsid w:val="006E2568"/>
    <w:rsid w:val="006E272E"/>
    <w:rsid w:val="006E2873"/>
    <w:rsid w:val="006E2DC7"/>
    <w:rsid w:val="006E40F3"/>
    <w:rsid w:val="006F05EA"/>
    <w:rsid w:val="006F2595"/>
    <w:rsid w:val="006F6520"/>
    <w:rsid w:val="00700158"/>
    <w:rsid w:val="007003D3"/>
    <w:rsid w:val="00702F8D"/>
    <w:rsid w:val="00703598"/>
    <w:rsid w:val="007037E5"/>
    <w:rsid w:val="00703E9F"/>
    <w:rsid w:val="00704185"/>
    <w:rsid w:val="00705C9A"/>
    <w:rsid w:val="00712115"/>
    <w:rsid w:val="007123AC"/>
    <w:rsid w:val="007135BD"/>
    <w:rsid w:val="00714E78"/>
    <w:rsid w:val="00715DE2"/>
    <w:rsid w:val="007163A7"/>
    <w:rsid w:val="007164FB"/>
    <w:rsid w:val="00716D6A"/>
    <w:rsid w:val="00722D9A"/>
    <w:rsid w:val="00723116"/>
    <w:rsid w:val="00724B98"/>
    <w:rsid w:val="00726086"/>
    <w:rsid w:val="00726F8A"/>
    <w:rsid w:val="00726FD8"/>
    <w:rsid w:val="00730107"/>
    <w:rsid w:val="00730EBF"/>
    <w:rsid w:val="0073135A"/>
    <w:rsid w:val="007319BE"/>
    <w:rsid w:val="007327A5"/>
    <w:rsid w:val="0073287D"/>
    <w:rsid w:val="0073456C"/>
    <w:rsid w:val="00734926"/>
    <w:rsid w:val="00734DC1"/>
    <w:rsid w:val="00737580"/>
    <w:rsid w:val="00737CC7"/>
    <w:rsid w:val="0074064C"/>
    <w:rsid w:val="007421C8"/>
    <w:rsid w:val="00742F9F"/>
    <w:rsid w:val="00743755"/>
    <w:rsid w:val="007437FB"/>
    <w:rsid w:val="007438C8"/>
    <w:rsid w:val="007449BF"/>
    <w:rsid w:val="0074503E"/>
    <w:rsid w:val="00747852"/>
    <w:rsid w:val="00747C76"/>
    <w:rsid w:val="00750265"/>
    <w:rsid w:val="007515D5"/>
    <w:rsid w:val="00752C14"/>
    <w:rsid w:val="00753ABC"/>
    <w:rsid w:val="0075403E"/>
    <w:rsid w:val="00755F39"/>
    <w:rsid w:val="00756CF6"/>
    <w:rsid w:val="00757268"/>
    <w:rsid w:val="0075734B"/>
    <w:rsid w:val="00757430"/>
    <w:rsid w:val="00761C8E"/>
    <w:rsid w:val="00761FAA"/>
    <w:rsid w:val="00762BAD"/>
    <w:rsid w:val="00762E3C"/>
    <w:rsid w:val="00763210"/>
    <w:rsid w:val="00763EBC"/>
    <w:rsid w:val="007653B8"/>
    <w:rsid w:val="00766090"/>
    <w:rsid w:val="0076666F"/>
    <w:rsid w:val="00766D30"/>
    <w:rsid w:val="00770EB6"/>
    <w:rsid w:val="0077185E"/>
    <w:rsid w:val="00773654"/>
    <w:rsid w:val="0077503B"/>
    <w:rsid w:val="00776635"/>
    <w:rsid w:val="00776724"/>
    <w:rsid w:val="007807B1"/>
    <w:rsid w:val="0078210C"/>
    <w:rsid w:val="00784BA5"/>
    <w:rsid w:val="00785CF7"/>
    <w:rsid w:val="0078654C"/>
    <w:rsid w:val="00787961"/>
    <w:rsid w:val="007909E1"/>
    <w:rsid w:val="007917AC"/>
    <w:rsid w:val="00792C4D"/>
    <w:rsid w:val="00793841"/>
    <w:rsid w:val="00793FEA"/>
    <w:rsid w:val="007945CD"/>
    <w:rsid w:val="00794CA5"/>
    <w:rsid w:val="007979AF"/>
    <w:rsid w:val="007A30DE"/>
    <w:rsid w:val="007A6970"/>
    <w:rsid w:val="007A70B1"/>
    <w:rsid w:val="007A788C"/>
    <w:rsid w:val="007A7A80"/>
    <w:rsid w:val="007B0D31"/>
    <w:rsid w:val="007B17D4"/>
    <w:rsid w:val="007B1D57"/>
    <w:rsid w:val="007B32F0"/>
    <w:rsid w:val="007B3910"/>
    <w:rsid w:val="007B43B4"/>
    <w:rsid w:val="007B4E35"/>
    <w:rsid w:val="007B6808"/>
    <w:rsid w:val="007B7D81"/>
    <w:rsid w:val="007C030B"/>
    <w:rsid w:val="007C1D60"/>
    <w:rsid w:val="007C29F6"/>
    <w:rsid w:val="007C3BD1"/>
    <w:rsid w:val="007C401E"/>
    <w:rsid w:val="007C47CE"/>
    <w:rsid w:val="007C6959"/>
    <w:rsid w:val="007C7CB5"/>
    <w:rsid w:val="007D0434"/>
    <w:rsid w:val="007D2426"/>
    <w:rsid w:val="007D33B8"/>
    <w:rsid w:val="007D33E1"/>
    <w:rsid w:val="007D3EA1"/>
    <w:rsid w:val="007D5D99"/>
    <w:rsid w:val="007D6735"/>
    <w:rsid w:val="007D78B4"/>
    <w:rsid w:val="007E0DA7"/>
    <w:rsid w:val="007E10D3"/>
    <w:rsid w:val="007E27C7"/>
    <w:rsid w:val="007E35BD"/>
    <w:rsid w:val="007E54BB"/>
    <w:rsid w:val="007E6376"/>
    <w:rsid w:val="007E6D78"/>
    <w:rsid w:val="007E75F6"/>
    <w:rsid w:val="007F0503"/>
    <w:rsid w:val="007F0D05"/>
    <w:rsid w:val="007F228D"/>
    <w:rsid w:val="007F30A9"/>
    <w:rsid w:val="007F3C40"/>
    <w:rsid w:val="007F3E33"/>
    <w:rsid w:val="007F5205"/>
    <w:rsid w:val="007F5303"/>
    <w:rsid w:val="007F7EA3"/>
    <w:rsid w:val="008005B0"/>
    <w:rsid w:val="00800B18"/>
    <w:rsid w:val="008027B8"/>
    <w:rsid w:val="00804649"/>
    <w:rsid w:val="00806717"/>
    <w:rsid w:val="0080681E"/>
    <w:rsid w:val="008109A6"/>
    <w:rsid w:val="00810DFB"/>
    <w:rsid w:val="00811382"/>
    <w:rsid w:val="00811F35"/>
    <w:rsid w:val="0081277E"/>
    <w:rsid w:val="00815B8E"/>
    <w:rsid w:val="00820CF5"/>
    <w:rsid w:val="008211B6"/>
    <w:rsid w:val="00823732"/>
    <w:rsid w:val="008255E8"/>
    <w:rsid w:val="008267A3"/>
    <w:rsid w:val="00827747"/>
    <w:rsid w:val="0083086E"/>
    <w:rsid w:val="00831C27"/>
    <w:rsid w:val="0083262F"/>
    <w:rsid w:val="00833BF0"/>
    <w:rsid w:val="00833D0D"/>
    <w:rsid w:val="00834562"/>
    <w:rsid w:val="00834DA5"/>
    <w:rsid w:val="00836322"/>
    <w:rsid w:val="00836DAE"/>
    <w:rsid w:val="00837C3E"/>
    <w:rsid w:val="00837DCE"/>
    <w:rsid w:val="008402C0"/>
    <w:rsid w:val="00840B9C"/>
    <w:rsid w:val="0084246A"/>
    <w:rsid w:val="00842E03"/>
    <w:rsid w:val="00843CDB"/>
    <w:rsid w:val="008501BA"/>
    <w:rsid w:val="00850545"/>
    <w:rsid w:val="00851611"/>
    <w:rsid w:val="008557EE"/>
    <w:rsid w:val="0085666E"/>
    <w:rsid w:val="00857603"/>
    <w:rsid w:val="008617DE"/>
    <w:rsid w:val="00861FEB"/>
    <w:rsid w:val="008628C6"/>
    <w:rsid w:val="008630BC"/>
    <w:rsid w:val="00865140"/>
    <w:rsid w:val="00865893"/>
    <w:rsid w:val="00866E4A"/>
    <w:rsid w:val="00866F6F"/>
    <w:rsid w:val="00867846"/>
    <w:rsid w:val="00867AB6"/>
    <w:rsid w:val="0087063D"/>
    <w:rsid w:val="00870670"/>
    <w:rsid w:val="008718D0"/>
    <w:rsid w:val="008719B7"/>
    <w:rsid w:val="00875E43"/>
    <w:rsid w:val="00875F55"/>
    <w:rsid w:val="00876B31"/>
    <w:rsid w:val="008803D6"/>
    <w:rsid w:val="00880EDD"/>
    <w:rsid w:val="00881B83"/>
    <w:rsid w:val="00882AF2"/>
    <w:rsid w:val="00883D8E"/>
    <w:rsid w:val="00884870"/>
    <w:rsid w:val="00884D43"/>
    <w:rsid w:val="00886AA1"/>
    <w:rsid w:val="00887764"/>
    <w:rsid w:val="008879E2"/>
    <w:rsid w:val="00890541"/>
    <w:rsid w:val="0089523E"/>
    <w:rsid w:val="008955D1"/>
    <w:rsid w:val="00896657"/>
    <w:rsid w:val="00897408"/>
    <w:rsid w:val="008A012C"/>
    <w:rsid w:val="008A04C8"/>
    <w:rsid w:val="008A1B0B"/>
    <w:rsid w:val="008A3E95"/>
    <w:rsid w:val="008A4C1E"/>
    <w:rsid w:val="008A6E48"/>
    <w:rsid w:val="008B08D7"/>
    <w:rsid w:val="008B0D09"/>
    <w:rsid w:val="008B25DB"/>
    <w:rsid w:val="008B26CB"/>
    <w:rsid w:val="008B6788"/>
    <w:rsid w:val="008B6876"/>
    <w:rsid w:val="008B6EC9"/>
    <w:rsid w:val="008B779C"/>
    <w:rsid w:val="008B7D6F"/>
    <w:rsid w:val="008C00DC"/>
    <w:rsid w:val="008C0836"/>
    <w:rsid w:val="008C1864"/>
    <w:rsid w:val="008C1F06"/>
    <w:rsid w:val="008C72B4"/>
    <w:rsid w:val="008D1B2C"/>
    <w:rsid w:val="008D1FA8"/>
    <w:rsid w:val="008D299A"/>
    <w:rsid w:val="008D2CC2"/>
    <w:rsid w:val="008D3BF4"/>
    <w:rsid w:val="008D5CE4"/>
    <w:rsid w:val="008D5EFE"/>
    <w:rsid w:val="008D6275"/>
    <w:rsid w:val="008E1838"/>
    <w:rsid w:val="008E18D7"/>
    <w:rsid w:val="008E2C2B"/>
    <w:rsid w:val="008E3EA7"/>
    <w:rsid w:val="008E5040"/>
    <w:rsid w:val="008E5944"/>
    <w:rsid w:val="008E66BE"/>
    <w:rsid w:val="008E7EE9"/>
    <w:rsid w:val="008F13A0"/>
    <w:rsid w:val="008F27EA"/>
    <w:rsid w:val="008F39EB"/>
    <w:rsid w:val="008F3CA6"/>
    <w:rsid w:val="008F4EB6"/>
    <w:rsid w:val="008F5018"/>
    <w:rsid w:val="008F6605"/>
    <w:rsid w:val="008F70E2"/>
    <w:rsid w:val="008F740F"/>
    <w:rsid w:val="009005E6"/>
    <w:rsid w:val="00900ACF"/>
    <w:rsid w:val="009016CF"/>
    <w:rsid w:val="00902F6C"/>
    <w:rsid w:val="0090415D"/>
    <w:rsid w:val="00904D05"/>
    <w:rsid w:val="009117BB"/>
    <w:rsid w:val="00911C30"/>
    <w:rsid w:val="00913105"/>
    <w:rsid w:val="00913FC8"/>
    <w:rsid w:val="00916C91"/>
    <w:rsid w:val="009171DF"/>
    <w:rsid w:val="00920330"/>
    <w:rsid w:val="00922456"/>
    <w:rsid w:val="00922821"/>
    <w:rsid w:val="00923380"/>
    <w:rsid w:val="0092414A"/>
    <w:rsid w:val="00924E20"/>
    <w:rsid w:val="009255D5"/>
    <w:rsid w:val="00925BBA"/>
    <w:rsid w:val="00926E00"/>
    <w:rsid w:val="00927090"/>
    <w:rsid w:val="00930553"/>
    <w:rsid w:val="00930ACD"/>
    <w:rsid w:val="00932ADC"/>
    <w:rsid w:val="00933E90"/>
    <w:rsid w:val="00934806"/>
    <w:rsid w:val="00935E10"/>
    <w:rsid w:val="0093748B"/>
    <w:rsid w:val="00940A9C"/>
    <w:rsid w:val="00942BBE"/>
    <w:rsid w:val="00942D10"/>
    <w:rsid w:val="0094350D"/>
    <w:rsid w:val="00943F64"/>
    <w:rsid w:val="00945161"/>
    <w:rsid w:val="009453C3"/>
    <w:rsid w:val="00946884"/>
    <w:rsid w:val="009531DF"/>
    <w:rsid w:val="00954381"/>
    <w:rsid w:val="00955D15"/>
    <w:rsid w:val="0095612A"/>
    <w:rsid w:val="00956FCD"/>
    <w:rsid w:val="0095751B"/>
    <w:rsid w:val="00957B72"/>
    <w:rsid w:val="00963019"/>
    <w:rsid w:val="00963119"/>
    <w:rsid w:val="00963647"/>
    <w:rsid w:val="00963864"/>
    <w:rsid w:val="009651DD"/>
    <w:rsid w:val="00965AB2"/>
    <w:rsid w:val="00965B39"/>
    <w:rsid w:val="00965CB4"/>
    <w:rsid w:val="00967897"/>
    <w:rsid w:val="00967AFD"/>
    <w:rsid w:val="00970445"/>
    <w:rsid w:val="00972325"/>
    <w:rsid w:val="0097412F"/>
    <w:rsid w:val="00975539"/>
    <w:rsid w:val="00975AC3"/>
    <w:rsid w:val="00976895"/>
    <w:rsid w:val="00977BB6"/>
    <w:rsid w:val="00981C9E"/>
    <w:rsid w:val="0098213B"/>
    <w:rsid w:val="00982B36"/>
    <w:rsid w:val="00984748"/>
    <w:rsid w:val="009905DC"/>
    <w:rsid w:val="009917C6"/>
    <w:rsid w:val="0099283D"/>
    <w:rsid w:val="00993D24"/>
    <w:rsid w:val="009966FF"/>
    <w:rsid w:val="00997034"/>
    <w:rsid w:val="009971A9"/>
    <w:rsid w:val="009A0FDB"/>
    <w:rsid w:val="009A37D5"/>
    <w:rsid w:val="009A7EC2"/>
    <w:rsid w:val="009B0A60"/>
    <w:rsid w:val="009B11EF"/>
    <w:rsid w:val="009B18E9"/>
    <w:rsid w:val="009B2B66"/>
    <w:rsid w:val="009B342C"/>
    <w:rsid w:val="009B4592"/>
    <w:rsid w:val="009B56CF"/>
    <w:rsid w:val="009B5C83"/>
    <w:rsid w:val="009B60AA"/>
    <w:rsid w:val="009B7CF6"/>
    <w:rsid w:val="009C12E7"/>
    <w:rsid w:val="009C137D"/>
    <w:rsid w:val="009C166E"/>
    <w:rsid w:val="009C17F8"/>
    <w:rsid w:val="009C2421"/>
    <w:rsid w:val="009C3007"/>
    <w:rsid w:val="009C634A"/>
    <w:rsid w:val="009C7123"/>
    <w:rsid w:val="009D063C"/>
    <w:rsid w:val="009D0A91"/>
    <w:rsid w:val="009D1380"/>
    <w:rsid w:val="009D20AA"/>
    <w:rsid w:val="009D22FC"/>
    <w:rsid w:val="009D3904"/>
    <w:rsid w:val="009D3D77"/>
    <w:rsid w:val="009D4319"/>
    <w:rsid w:val="009D558E"/>
    <w:rsid w:val="009D57E5"/>
    <w:rsid w:val="009D5DF7"/>
    <w:rsid w:val="009D6C80"/>
    <w:rsid w:val="009E175A"/>
    <w:rsid w:val="009E2846"/>
    <w:rsid w:val="009E2EF5"/>
    <w:rsid w:val="009E3F2F"/>
    <w:rsid w:val="009E435E"/>
    <w:rsid w:val="009E4BA9"/>
    <w:rsid w:val="009E67C5"/>
    <w:rsid w:val="009F0332"/>
    <w:rsid w:val="009F1E36"/>
    <w:rsid w:val="009F3D0A"/>
    <w:rsid w:val="009F55FD"/>
    <w:rsid w:val="009F5B59"/>
    <w:rsid w:val="009F6A59"/>
    <w:rsid w:val="009F7F80"/>
    <w:rsid w:val="00A01C3E"/>
    <w:rsid w:val="00A04A82"/>
    <w:rsid w:val="00A05C7B"/>
    <w:rsid w:val="00A05FB5"/>
    <w:rsid w:val="00A0780F"/>
    <w:rsid w:val="00A11572"/>
    <w:rsid w:val="00A11A8D"/>
    <w:rsid w:val="00A15D01"/>
    <w:rsid w:val="00A22C01"/>
    <w:rsid w:val="00A24FAC"/>
    <w:rsid w:val="00A2668A"/>
    <w:rsid w:val="00A27C2E"/>
    <w:rsid w:val="00A30C30"/>
    <w:rsid w:val="00A33A60"/>
    <w:rsid w:val="00A35F68"/>
    <w:rsid w:val="00A3681D"/>
    <w:rsid w:val="00A36991"/>
    <w:rsid w:val="00A40F41"/>
    <w:rsid w:val="00A4114C"/>
    <w:rsid w:val="00A4319D"/>
    <w:rsid w:val="00A43BFF"/>
    <w:rsid w:val="00A46083"/>
    <w:rsid w:val="00A464E4"/>
    <w:rsid w:val="00A476AE"/>
    <w:rsid w:val="00A5089E"/>
    <w:rsid w:val="00A5140C"/>
    <w:rsid w:val="00A52521"/>
    <w:rsid w:val="00A52AA4"/>
    <w:rsid w:val="00A5319F"/>
    <w:rsid w:val="00A53D3B"/>
    <w:rsid w:val="00A55454"/>
    <w:rsid w:val="00A564DB"/>
    <w:rsid w:val="00A56ABB"/>
    <w:rsid w:val="00A62896"/>
    <w:rsid w:val="00A62F2E"/>
    <w:rsid w:val="00A63852"/>
    <w:rsid w:val="00A63A1E"/>
    <w:rsid w:val="00A63AE2"/>
    <w:rsid w:val="00A63DC2"/>
    <w:rsid w:val="00A64826"/>
    <w:rsid w:val="00A64E41"/>
    <w:rsid w:val="00A65B9C"/>
    <w:rsid w:val="00A66A4C"/>
    <w:rsid w:val="00A673BC"/>
    <w:rsid w:val="00A70222"/>
    <w:rsid w:val="00A72452"/>
    <w:rsid w:val="00A730CF"/>
    <w:rsid w:val="00A73F6E"/>
    <w:rsid w:val="00A74954"/>
    <w:rsid w:val="00A764DC"/>
    <w:rsid w:val="00A76646"/>
    <w:rsid w:val="00A76EB2"/>
    <w:rsid w:val="00A8007F"/>
    <w:rsid w:val="00A81EF8"/>
    <w:rsid w:val="00A8252E"/>
    <w:rsid w:val="00A835F4"/>
    <w:rsid w:val="00A8372D"/>
    <w:rsid w:val="00A83CA7"/>
    <w:rsid w:val="00A84644"/>
    <w:rsid w:val="00A85172"/>
    <w:rsid w:val="00A85940"/>
    <w:rsid w:val="00A86199"/>
    <w:rsid w:val="00A86C89"/>
    <w:rsid w:val="00A8747D"/>
    <w:rsid w:val="00A919E1"/>
    <w:rsid w:val="00A92FD2"/>
    <w:rsid w:val="00A93890"/>
    <w:rsid w:val="00A93CC6"/>
    <w:rsid w:val="00A95720"/>
    <w:rsid w:val="00A973EB"/>
    <w:rsid w:val="00A977FF"/>
    <w:rsid w:val="00A97C49"/>
    <w:rsid w:val="00A97F7A"/>
    <w:rsid w:val="00AA1042"/>
    <w:rsid w:val="00AA42D4"/>
    <w:rsid w:val="00AA4F7F"/>
    <w:rsid w:val="00AA58C2"/>
    <w:rsid w:val="00AA58FD"/>
    <w:rsid w:val="00AA6D95"/>
    <w:rsid w:val="00AA78AB"/>
    <w:rsid w:val="00AB13F3"/>
    <w:rsid w:val="00AB2573"/>
    <w:rsid w:val="00AB34A5"/>
    <w:rsid w:val="00AB365E"/>
    <w:rsid w:val="00AB53B3"/>
    <w:rsid w:val="00AB5A69"/>
    <w:rsid w:val="00AB6309"/>
    <w:rsid w:val="00AB7374"/>
    <w:rsid w:val="00AB78E7"/>
    <w:rsid w:val="00AB7EE1"/>
    <w:rsid w:val="00AC0074"/>
    <w:rsid w:val="00AC39F8"/>
    <w:rsid w:val="00AC3B3B"/>
    <w:rsid w:val="00AC4906"/>
    <w:rsid w:val="00AC6292"/>
    <w:rsid w:val="00AC6727"/>
    <w:rsid w:val="00AC6EAB"/>
    <w:rsid w:val="00AD5394"/>
    <w:rsid w:val="00AD5F09"/>
    <w:rsid w:val="00AD766D"/>
    <w:rsid w:val="00AE0CA7"/>
    <w:rsid w:val="00AE2856"/>
    <w:rsid w:val="00AE3BF2"/>
    <w:rsid w:val="00AE3DC2"/>
    <w:rsid w:val="00AE4D9B"/>
    <w:rsid w:val="00AE4ED6"/>
    <w:rsid w:val="00AE541E"/>
    <w:rsid w:val="00AE56F2"/>
    <w:rsid w:val="00AE6611"/>
    <w:rsid w:val="00AE6626"/>
    <w:rsid w:val="00AE6A93"/>
    <w:rsid w:val="00AE7A99"/>
    <w:rsid w:val="00AF20DB"/>
    <w:rsid w:val="00AF7F76"/>
    <w:rsid w:val="00B007EF"/>
    <w:rsid w:val="00B01C0E"/>
    <w:rsid w:val="00B0257F"/>
    <w:rsid w:val="00B02718"/>
    <w:rsid w:val="00B02798"/>
    <w:rsid w:val="00B02B41"/>
    <w:rsid w:val="00B031C2"/>
    <w:rsid w:val="00B0371D"/>
    <w:rsid w:val="00B04F31"/>
    <w:rsid w:val="00B04FDE"/>
    <w:rsid w:val="00B0574B"/>
    <w:rsid w:val="00B05BD0"/>
    <w:rsid w:val="00B06D35"/>
    <w:rsid w:val="00B12806"/>
    <w:rsid w:val="00B12C0E"/>
    <w:rsid w:val="00B12F98"/>
    <w:rsid w:val="00B15B90"/>
    <w:rsid w:val="00B15E94"/>
    <w:rsid w:val="00B1698C"/>
    <w:rsid w:val="00B174EA"/>
    <w:rsid w:val="00B17B89"/>
    <w:rsid w:val="00B22169"/>
    <w:rsid w:val="00B23401"/>
    <w:rsid w:val="00B2418D"/>
    <w:rsid w:val="00B24A04"/>
    <w:rsid w:val="00B2594D"/>
    <w:rsid w:val="00B26E69"/>
    <w:rsid w:val="00B310BA"/>
    <w:rsid w:val="00B315C6"/>
    <w:rsid w:val="00B3290A"/>
    <w:rsid w:val="00B34E4A"/>
    <w:rsid w:val="00B36347"/>
    <w:rsid w:val="00B40352"/>
    <w:rsid w:val="00B40D84"/>
    <w:rsid w:val="00B41E45"/>
    <w:rsid w:val="00B43442"/>
    <w:rsid w:val="00B43A0B"/>
    <w:rsid w:val="00B441BA"/>
    <w:rsid w:val="00B44985"/>
    <w:rsid w:val="00B4566C"/>
    <w:rsid w:val="00B4631D"/>
    <w:rsid w:val="00B46526"/>
    <w:rsid w:val="00B4773C"/>
    <w:rsid w:val="00B50039"/>
    <w:rsid w:val="00B511D9"/>
    <w:rsid w:val="00B516BC"/>
    <w:rsid w:val="00B51ABD"/>
    <w:rsid w:val="00B5282A"/>
    <w:rsid w:val="00B53168"/>
    <w:rsid w:val="00B535ED"/>
    <w:rsid w:val="00B538F4"/>
    <w:rsid w:val="00B545AF"/>
    <w:rsid w:val="00B555AA"/>
    <w:rsid w:val="00B5784B"/>
    <w:rsid w:val="00B6012B"/>
    <w:rsid w:val="00B60142"/>
    <w:rsid w:val="00B606F4"/>
    <w:rsid w:val="00B611CD"/>
    <w:rsid w:val="00B61D1C"/>
    <w:rsid w:val="00B620F6"/>
    <w:rsid w:val="00B64EB7"/>
    <w:rsid w:val="00B653ED"/>
    <w:rsid w:val="00B65F4D"/>
    <w:rsid w:val="00B66153"/>
    <w:rsid w:val="00B661FA"/>
    <w:rsid w:val="00B666F6"/>
    <w:rsid w:val="00B6704F"/>
    <w:rsid w:val="00B700D5"/>
    <w:rsid w:val="00B71167"/>
    <w:rsid w:val="00B724E8"/>
    <w:rsid w:val="00B7382E"/>
    <w:rsid w:val="00B77AEF"/>
    <w:rsid w:val="00B8223D"/>
    <w:rsid w:val="00B83B16"/>
    <w:rsid w:val="00B8482D"/>
    <w:rsid w:val="00B855F0"/>
    <w:rsid w:val="00B861FF"/>
    <w:rsid w:val="00B866E2"/>
    <w:rsid w:val="00B86983"/>
    <w:rsid w:val="00B86E79"/>
    <w:rsid w:val="00B91703"/>
    <w:rsid w:val="00B923AC"/>
    <w:rsid w:val="00B9300F"/>
    <w:rsid w:val="00B94A4A"/>
    <w:rsid w:val="00B95B1D"/>
    <w:rsid w:val="00B9665F"/>
    <w:rsid w:val="00B975EA"/>
    <w:rsid w:val="00BA0398"/>
    <w:rsid w:val="00BA08B4"/>
    <w:rsid w:val="00BA268E"/>
    <w:rsid w:val="00BA27C8"/>
    <w:rsid w:val="00BA3C17"/>
    <w:rsid w:val="00BA3CE5"/>
    <w:rsid w:val="00BA5216"/>
    <w:rsid w:val="00BA68C1"/>
    <w:rsid w:val="00BA6F78"/>
    <w:rsid w:val="00BA7536"/>
    <w:rsid w:val="00BB0F03"/>
    <w:rsid w:val="00BB166E"/>
    <w:rsid w:val="00BB3115"/>
    <w:rsid w:val="00BB39B4"/>
    <w:rsid w:val="00BB4184"/>
    <w:rsid w:val="00BB4AC3"/>
    <w:rsid w:val="00BB5124"/>
    <w:rsid w:val="00BB5A48"/>
    <w:rsid w:val="00BB7296"/>
    <w:rsid w:val="00BB73F0"/>
    <w:rsid w:val="00BB79CE"/>
    <w:rsid w:val="00BC014C"/>
    <w:rsid w:val="00BC14BD"/>
    <w:rsid w:val="00BC1EF9"/>
    <w:rsid w:val="00BC2D8E"/>
    <w:rsid w:val="00BC3B10"/>
    <w:rsid w:val="00BC4898"/>
    <w:rsid w:val="00BC49DC"/>
    <w:rsid w:val="00BC4BFF"/>
    <w:rsid w:val="00BC6ACF"/>
    <w:rsid w:val="00BC743E"/>
    <w:rsid w:val="00BC7C09"/>
    <w:rsid w:val="00BD0F98"/>
    <w:rsid w:val="00BD3506"/>
    <w:rsid w:val="00BD50B0"/>
    <w:rsid w:val="00BD5C2E"/>
    <w:rsid w:val="00BD6DC6"/>
    <w:rsid w:val="00BE3666"/>
    <w:rsid w:val="00BE37CC"/>
    <w:rsid w:val="00BE39CA"/>
    <w:rsid w:val="00BE51C0"/>
    <w:rsid w:val="00BE5ABE"/>
    <w:rsid w:val="00BE62C2"/>
    <w:rsid w:val="00BE7F9A"/>
    <w:rsid w:val="00BF1B57"/>
    <w:rsid w:val="00BF2266"/>
    <w:rsid w:val="00BF302E"/>
    <w:rsid w:val="00BF31E6"/>
    <w:rsid w:val="00BF3260"/>
    <w:rsid w:val="00BF50A0"/>
    <w:rsid w:val="00BF5288"/>
    <w:rsid w:val="00BF5F8B"/>
    <w:rsid w:val="00BF62D8"/>
    <w:rsid w:val="00BF749C"/>
    <w:rsid w:val="00BF7F05"/>
    <w:rsid w:val="00C01BCA"/>
    <w:rsid w:val="00C02FCB"/>
    <w:rsid w:val="00C03188"/>
    <w:rsid w:val="00C06F70"/>
    <w:rsid w:val="00C070F2"/>
    <w:rsid w:val="00C12406"/>
    <w:rsid w:val="00C12B87"/>
    <w:rsid w:val="00C13661"/>
    <w:rsid w:val="00C14B20"/>
    <w:rsid w:val="00C235F2"/>
    <w:rsid w:val="00C27723"/>
    <w:rsid w:val="00C30267"/>
    <w:rsid w:val="00C32CCF"/>
    <w:rsid w:val="00C33D9A"/>
    <w:rsid w:val="00C34982"/>
    <w:rsid w:val="00C34CC8"/>
    <w:rsid w:val="00C35828"/>
    <w:rsid w:val="00C36A36"/>
    <w:rsid w:val="00C40016"/>
    <w:rsid w:val="00C408F8"/>
    <w:rsid w:val="00C41E35"/>
    <w:rsid w:val="00C429F3"/>
    <w:rsid w:val="00C42AF0"/>
    <w:rsid w:val="00C44145"/>
    <w:rsid w:val="00C46309"/>
    <w:rsid w:val="00C47253"/>
    <w:rsid w:val="00C53235"/>
    <w:rsid w:val="00C53302"/>
    <w:rsid w:val="00C534B9"/>
    <w:rsid w:val="00C5371E"/>
    <w:rsid w:val="00C53F57"/>
    <w:rsid w:val="00C553CE"/>
    <w:rsid w:val="00C57BF5"/>
    <w:rsid w:val="00C61DA2"/>
    <w:rsid w:val="00C6290B"/>
    <w:rsid w:val="00C65296"/>
    <w:rsid w:val="00C65F6C"/>
    <w:rsid w:val="00C66894"/>
    <w:rsid w:val="00C67401"/>
    <w:rsid w:val="00C67A6D"/>
    <w:rsid w:val="00C67CE1"/>
    <w:rsid w:val="00C7181D"/>
    <w:rsid w:val="00C71B6A"/>
    <w:rsid w:val="00C771B0"/>
    <w:rsid w:val="00C7765D"/>
    <w:rsid w:val="00C805EF"/>
    <w:rsid w:val="00C810B5"/>
    <w:rsid w:val="00C81169"/>
    <w:rsid w:val="00C81335"/>
    <w:rsid w:val="00C8149E"/>
    <w:rsid w:val="00C8212A"/>
    <w:rsid w:val="00C82A58"/>
    <w:rsid w:val="00C85252"/>
    <w:rsid w:val="00C85A4F"/>
    <w:rsid w:val="00C87AB0"/>
    <w:rsid w:val="00C91D31"/>
    <w:rsid w:val="00C92412"/>
    <w:rsid w:val="00C9347F"/>
    <w:rsid w:val="00C96409"/>
    <w:rsid w:val="00C9737F"/>
    <w:rsid w:val="00C978F0"/>
    <w:rsid w:val="00C97CE3"/>
    <w:rsid w:val="00CA0291"/>
    <w:rsid w:val="00CA0AB1"/>
    <w:rsid w:val="00CA11E0"/>
    <w:rsid w:val="00CA276B"/>
    <w:rsid w:val="00CA27A3"/>
    <w:rsid w:val="00CA6A38"/>
    <w:rsid w:val="00CA72F3"/>
    <w:rsid w:val="00CB1622"/>
    <w:rsid w:val="00CB1742"/>
    <w:rsid w:val="00CB2461"/>
    <w:rsid w:val="00CB2912"/>
    <w:rsid w:val="00CB35A8"/>
    <w:rsid w:val="00CB383A"/>
    <w:rsid w:val="00CB3A2D"/>
    <w:rsid w:val="00CB4BCC"/>
    <w:rsid w:val="00CB6A2E"/>
    <w:rsid w:val="00CC00D7"/>
    <w:rsid w:val="00CC044E"/>
    <w:rsid w:val="00CC0BFB"/>
    <w:rsid w:val="00CC157A"/>
    <w:rsid w:val="00CC19E0"/>
    <w:rsid w:val="00CC36D6"/>
    <w:rsid w:val="00CC40AF"/>
    <w:rsid w:val="00CC540C"/>
    <w:rsid w:val="00CC5D20"/>
    <w:rsid w:val="00CC647A"/>
    <w:rsid w:val="00CC73CF"/>
    <w:rsid w:val="00CD081E"/>
    <w:rsid w:val="00CD0FE1"/>
    <w:rsid w:val="00CD1FA2"/>
    <w:rsid w:val="00CD26C0"/>
    <w:rsid w:val="00CD33FB"/>
    <w:rsid w:val="00CD41EC"/>
    <w:rsid w:val="00CD4299"/>
    <w:rsid w:val="00CD492A"/>
    <w:rsid w:val="00CD4BD5"/>
    <w:rsid w:val="00CE0242"/>
    <w:rsid w:val="00CE307C"/>
    <w:rsid w:val="00CE3DFA"/>
    <w:rsid w:val="00CE4265"/>
    <w:rsid w:val="00CE6EA1"/>
    <w:rsid w:val="00CE6FA1"/>
    <w:rsid w:val="00CE7231"/>
    <w:rsid w:val="00CE7B73"/>
    <w:rsid w:val="00CF1542"/>
    <w:rsid w:val="00CF1953"/>
    <w:rsid w:val="00CF2697"/>
    <w:rsid w:val="00CF4D23"/>
    <w:rsid w:val="00CF52D3"/>
    <w:rsid w:val="00CF6F44"/>
    <w:rsid w:val="00CF77AE"/>
    <w:rsid w:val="00D00BD8"/>
    <w:rsid w:val="00D01F93"/>
    <w:rsid w:val="00D02191"/>
    <w:rsid w:val="00D0246D"/>
    <w:rsid w:val="00D02E41"/>
    <w:rsid w:val="00D030E4"/>
    <w:rsid w:val="00D04257"/>
    <w:rsid w:val="00D06C2B"/>
    <w:rsid w:val="00D1089A"/>
    <w:rsid w:val="00D10DF4"/>
    <w:rsid w:val="00D11A83"/>
    <w:rsid w:val="00D12C95"/>
    <w:rsid w:val="00D1314F"/>
    <w:rsid w:val="00D14374"/>
    <w:rsid w:val="00D1514D"/>
    <w:rsid w:val="00D16B8B"/>
    <w:rsid w:val="00D16EDC"/>
    <w:rsid w:val="00D174D8"/>
    <w:rsid w:val="00D1783E"/>
    <w:rsid w:val="00D21DE0"/>
    <w:rsid w:val="00D22821"/>
    <w:rsid w:val="00D23830"/>
    <w:rsid w:val="00D25379"/>
    <w:rsid w:val="00D26430"/>
    <w:rsid w:val="00D32398"/>
    <w:rsid w:val="00D341B3"/>
    <w:rsid w:val="00D34B85"/>
    <w:rsid w:val="00D34E4F"/>
    <w:rsid w:val="00D34EAE"/>
    <w:rsid w:val="00D36B21"/>
    <w:rsid w:val="00D3735B"/>
    <w:rsid w:val="00D40440"/>
    <w:rsid w:val="00D40830"/>
    <w:rsid w:val="00D41B0A"/>
    <w:rsid w:val="00D4288C"/>
    <w:rsid w:val="00D42B10"/>
    <w:rsid w:val="00D43CA9"/>
    <w:rsid w:val="00D43F88"/>
    <w:rsid w:val="00D44B05"/>
    <w:rsid w:val="00D46296"/>
    <w:rsid w:val="00D465E1"/>
    <w:rsid w:val="00D510F3"/>
    <w:rsid w:val="00D51500"/>
    <w:rsid w:val="00D51BDC"/>
    <w:rsid w:val="00D51F1E"/>
    <w:rsid w:val="00D5257A"/>
    <w:rsid w:val="00D63802"/>
    <w:rsid w:val="00D63A38"/>
    <w:rsid w:val="00D646BF"/>
    <w:rsid w:val="00D663D8"/>
    <w:rsid w:val="00D67262"/>
    <w:rsid w:val="00D72B93"/>
    <w:rsid w:val="00D72E30"/>
    <w:rsid w:val="00D731E1"/>
    <w:rsid w:val="00D80974"/>
    <w:rsid w:val="00D8098E"/>
    <w:rsid w:val="00D8155E"/>
    <w:rsid w:val="00D81FE1"/>
    <w:rsid w:val="00D8504F"/>
    <w:rsid w:val="00D85CA5"/>
    <w:rsid w:val="00D87706"/>
    <w:rsid w:val="00D91037"/>
    <w:rsid w:val="00D928DD"/>
    <w:rsid w:val="00D93CCE"/>
    <w:rsid w:val="00D941AF"/>
    <w:rsid w:val="00D94988"/>
    <w:rsid w:val="00D97E3F"/>
    <w:rsid w:val="00D97F5B"/>
    <w:rsid w:val="00DA2D77"/>
    <w:rsid w:val="00DA2EB6"/>
    <w:rsid w:val="00DA2EE6"/>
    <w:rsid w:val="00DA2F5C"/>
    <w:rsid w:val="00DA3879"/>
    <w:rsid w:val="00DA3CCF"/>
    <w:rsid w:val="00DA4966"/>
    <w:rsid w:val="00DA4D47"/>
    <w:rsid w:val="00DA4EB0"/>
    <w:rsid w:val="00DA5FED"/>
    <w:rsid w:val="00DA6058"/>
    <w:rsid w:val="00DA78FE"/>
    <w:rsid w:val="00DB00D6"/>
    <w:rsid w:val="00DB10BF"/>
    <w:rsid w:val="00DB187B"/>
    <w:rsid w:val="00DB2577"/>
    <w:rsid w:val="00DB2BE6"/>
    <w:rsid w:val="00DB379C"/>
    <w:rsid w:val="00DB3ED7"/>
    <w:rsid w:val="00DB42B9"/>
    <w:rsid w:val="00DB4B64"/>
    <w:rsid w:val="00DB58F5"/>
    <w:rsid w:val="00DB6E04"/>
    <w:rsid w:val="00DB74F1"/>
    <w:rsid w:val="00DB77C8"/>
    <w:rsid w:val="00DB7B4B"/>
    <w:rsid w:val="00DC05D1"/>
    <w:rsid w:val="00DC0990"/>
    <w:rsid w:val="00DC0D89"/>
    <w:rsid w:val="00DC0ED8"/>
    <w:rsid w:val="00DC15A3"/>
    <w:rsid w:val="00DC19D0"/>
    <w:rsid w:val="00DC2B12"/>
    <w:rsid w:val="00DC3FBC"/>
    <w:rsid w:val="00DD1349"/>
    <w:rsid w:val="00DD17E9"/>
    <w:rsid w:val="00DD3283"/>
    <w:rsid w:val="00DD3672"/>
    <w:rsid w:val="00DD46AE"/>
    <w:rsid w:val="00DD5243"/>
    <w:rsid w:val="00DD58ED"/>
    <w:rsid w:val="00DD7AA3"/>
    <w:rsid w:val="00DD7DAE"/>
    <w:rsid w:val="00DE1ADA"/>
    <w:rsid w:val="00DE2C9A"/>
    <w:rsid w:val="00DE5F53"/>
    <w:rsid w:val="00DE60F1"/>
    <w:rsid w:val="00DF1CAD"/>
    <w:rsid w:val="00DF29FD"/>
    <w:rsid w:val="00DF3C40"/>
    <w:rsid w:val="00DF60B8"/>
    <w:rsid w:val="00DF796D"/>
    <w:rsid w:val="00DF7F9A"/>
    <w:rsid w:val="00E02A00"/>
    <w:rsid w:val="00E04AD7"/>
    <w:rsid w:val="00E06201"/>
    <w:rsid w:val="00E06664"/>
    <w:rsid w:val="00E06DE5"/>
    <w:rsid w:val="00E079B9"/>
    <w:rsid w:val="00E10F9E"/>
    <w:rsid w:val="00E13A7E"/>
    <w:rsid w:val="00E13B68"/>
    <w:rsid w:val="00E13BFD"/>
    <w:rsid w:val="00E1497A"/>
    <w:rsid w:val="00E15EDD"/>
    <w:rsid w:val="00E163AA"/>
    <w:rsid w:val="00E16584"/>
    <w:rsid w:val="00E16F8D"/>
    <w:rsid w:val="00E20146"/>
    <w:rsid w:val="00E20D17"/>
    <w:rsid w:val="00E225D9"/>
    <w:rsid w:val="00E2278F"/>
    <w:rsid w:val="00E22895"/>
    <w:rsid w:val="00E238EA"/>
    <w:rsid w:val="00E2427A"/>
    <w:rsid w:val="00E24C96"/>
    <w:rsid w:val="00E264C2"/>
    <w:rsid w:val="00E26A2E"/>
    <w:rsid w:val="00E3161F"/>
    <w:rsid w:val="00E323AF"/>
    <w:rsid w:val="00E33724"/>
    <w:rsid w:val="00E341E0"/>
    <w:rsid w:val="00E34589"/>
    <w:rsid w:val="00E34B0A"/>
    <w:rsid w:val="00E36AB2"/>
    <w:rsid w:val="00E36C87"/>
    <w:rsid w:val="00E37E7B"/>
    <w:rsid w:val="00E37FD5"/>
    <w:rsid w:val="00E40405"/>
    <w:rsid w:val="00E404CB"/>
    <w:rsid w:val="00E41DE9"/>
    <w:rsid w:val="00E42037"/>
    <w:rsid w:val="00E44138"/>
    <w:rsid w:val="00E46086"/>
    <w:rsid w:val="00E531CF"/>
    <w:rsid w:val="00E54E35"/>
    <w:rsid w:val="00E550DE"/>
    <w:rsid w:val="00E5643C"/>
    <w:rsid w:val="00E567F9"/>
    <w:rsid w:val="00E57927"/>
    <w:rsid w:val="00E61E25"/>
    <w:rsid w:val="00E62A61"/>
    <w:rsid w:val="00E63914"/>
    <w:rsid w:val="00E63C36"/>
    <w:rsid w:val="00E6433C"/>
    <w:rsid w:val="00E653D4"/>
    <w:rsid w:val="00E65503"/>
    <w:rsid w:val="00E66CD2"/>
    <w:rsid w:val="00E66F68"/>
    <w:rsid w:val="00E71818"/>
    <w:rsid w:val="00E7277E"/>
    <w:rsid w:val="00E73B26"/>
    <w:rsid w:val="00E74724"/>
    <w:rsid w:val="00E76C83"/>
    <w:rsid w:val="00E77DA9"/>
    <w:rsid w:val="00E808D2"/>
    <w:rsid w:val="00E80F17"/>
    <w:rsid w:val="00E810B6"/>
    <w:rsid w:val="00E828C5"/>
    <w:rsid w:val="00E83DB1"/>
    <w:rsid w:val="00E84D4B"/>
    <w:rsid w:val="00E84E6A"/>
    <w:rsid w:val="00E856C6"/>
    <w:rsid w:val="00E85C22"/>
    <w:rsid w:val="00E868AB"/>
    <w:rsid w:val="00E875B2"/>
    <w:rsid w:val="00E911BA"/>
    <w:rsid w:val="00E92F84"/>
    <w:rsid w:val="00E93562"/>
    <w:rsid w:val="00E9774F"/>
    <w:rsid w:val="00EA2693"/>
    <w:rsid w:val="00EA4023"/>
    <w:rsid w:val="00EA6B93"/>
    <w:rsid w:val="00EA737E"/>
    <w:rsid w:val="00EA76D0"/>
    <w:rsid w:val="00EA7D5E"/>
    <w:rsid w:val="00EB0EB4"/>
    <w:rsid w:val="00EB1433"/>
    <w:rsid w:val="00EB3272"/>
    <w:rsid w:val="00EB33B2"/>
    <w:rsid w:val="00EB3E76"/>
    <w:rsid w:val="00EB5B8B"/>
    <w:rsid w:val="00EB60D9"/>
    <w:rsid w:val="00EB6118"/>
    <w:rsid w:val="00EB627F"/>
    <w:rsid w:val="00EC0738"/>
    <w:rsid w:val="00EC078A"/>
    <w:rsid w:val="00EC3174"/>
    <w:rsid w:val="00EC3630"/>
    <w:rsid w:val="00EC3A35"/>
    <w:rsid w:val="00EC4C15"/>
    <w:rsid w:val="00EC5C74"/>
    <w:rsid w:val="00EC5E52"/>
    <w:rsid w:val="00ED04CE"/>
    <w:rsid w:val="00ED0C9E"/>
    <w:rsid w:val="00ED0E15"/>
    <w:rsid w:val="00ED1900"/>
    <w:rsid w:val="00ED2D1C"/>
    <w:rsid w:val="00ED2ED4"/>
    <w:rsid w:val="00ED5154"/>
    <w:rsid w:val="00ED591E"/>
    <w:rsid w:val="00ED758F"/>
    <w:rsid w:val="00EE1106"/>
    <w:rsid w:val="00EE180E"/>
    <w:rsid w:val="00EE220F"/>
    <w:rsid w:val="00EE29F0"/>
    <w:rsid w:val="00EE30EC"/>
    <w:rsid w:val="00EE40A9"/>
    <w:rsid w:val="00EE4FC4"/>
    <w:rsid w:val="00EE6501"/>
    <w:rsid w:val="00EE7763"/>
    <w:rsid w:val="00EE7B49"/>
    <w:rsid w:val="00EF42EB"/>
    <w:rsid w:val="00EF4B42"/>
    <w:rsid w:val="00EF5C18"/>
    <w:rsid w:val="00EF7CA8"/>
    <w:rsid w:val="00F016D8"/>
    <w:rsid w:val="00F01D97"/>
    <w:rsid w:val="00F031F8"/>
    <w:rsid w:val="00F034F8"/>
    <w:rsid w:val="00F04CD5"/>
    <w:rsid w:val="00F0540D"/>
    <w:rsid w:val="00F0566C"/>
    <w:rsid w:val="00F06053"/>
    <w:rsid w:val="00F10450"/>
    <w:rsid w:val="00F1189F"/>
    <w:rsid w:val="00F11BE9"/>
    <w:rsid w:val="00F121C7"/>
    <w:rsid w:val="00F149EE"/>
    <w:rsid w:val="00F1614C"/>
    <w:rsid w:val="00F1615C"/>
    <w:rsid w:val="00F17809"/>
    <w:rsid w:val="00F2024D"/>
    <w:rsid w:val="00F20D7B"/>
    <w:rsid w:val="00F215A3"/>
    <w:rsid w:val="00F21B7B"/>
    <w:rsid w:val="00F22B46"/>
    <w:rsid w:val="00F230BE"/>
    <w:rsid w:val="00F23479"/>
    <w:rsid w:val="00F23DF4"/>
    <w:rsid w:val="00F25EDF"/>
    <w:rsid w:val="00F2647F"/>
    <w:rsid w:val="00F27521"/>
    <w:rsid w:val="00F279ED"/>
    <w:rsid w:val="00F30499"/>
    <w:rsid w:val="00F3083D"/>
    <w:rsid w:val="00F344CC"/>
    <w:rsid w:val="00F347CD"/>
    <w:rsid w:val="00F34B20"/>
    <w:rsid w:val="00F353C4"/>
    <w:rsid w:val="00F37466"/>
    <w:rsid w:val="00F37A79"/>
    <w:rsid w:val="00F37F12"/>
    <w:rsid w:val="00F403D7"/>
    <w:rsid w:val="00F42014"/>
    <w:rsid w:val="00F4205B"/>
    <w:rsid w:val="00F434C8"/>
    <w:rsid w:val="00F437A1"/>
    <w:rsid w:val="00F441B0"/>
    <w:rsid w:val="00F4575C"/>
    <w:rsid w:val="00F459A0"/>
    <w:rsid w:val="00F45AC2"/>
    <w:rsid w:val="00F45C6C"/>
    <w:rsid w:val="00F4663D"/>
    <w:rsid w:val="00F46E01"/>
    <w:rsid w:val="00F4700B"/>
    <w:rsid w:val="00F530F3"/>
    <w:rsid w:val="00F5321D"/>
    <w:rsid w:val="00F54850"/>
    <w:rsid w:val="00F553D8"/>
    <w:rsid w:val="00F57421"/>
    <w:rsid w:val="00F60EAF"/>
    <w:rsid w:val="00F62247"/>
    <w:rsid w:val="00F623E6"/>
    <w:rsid w:val="00F63662"/>
    <w:rsid w:val="00F65665"/>
    <w:rsid w:val="00F66938"/>
    <w:rsid w:val="00F66BF2"/>
    <w:rsid w:val="00F67166"/>
    <w:rsid w:val="00F671D3"/>
    <w:rsid w:val="00F726EE"/>
    <w:rsid w:val="00F75671"/>
    <w:rsid w:val="00F765E2"/>
    <w:rsid w:val="00F7783F"/>
    <w:rsid w:val="00F77BAC"/>
    <w:rsid w:val="00F80A32"/>
    <w:rsid w:val="00F8205B"/>
    <w:rsid w:val="00F82B94"/>
    <w:rsid w:val="00F84268"/>
    <w:rsid w:val="00F84CCA"/>
    <w:rsid w:val="00F8631C"/>
    <w:rsid w:val="00F86758"/>
    <w:rsid w:val="00F86FA7"/>
    <w:rsid w:val="00F87794"/>
    <w:rsid w:val="00F91FD9"/>
    <w:rsid w:val="00F945BD"/>
    <w:rsid w:val="00F94DB5"/>
    <w:rsid w:val="00F954D9"/>
    <w:rsid w:val="00F96676"/>
    <w:rsid w:val="00F97BCF"/>
    <w:rsid w:val="00FA338B"/>
    <w:rsid w:val="00FA3F25"/>
    <w:rsid w:val="00FA6994"/>
    <w:rsid w:val="00FA6F31"/>
    <w:rsid w:val="00FB1248"/>
    <w:rsid w:val="00FB293B"/>
    <w:rsid w:val="00FB49E9"/>
    <w:rsid w:val="00FB4FC8"/>
    <w:rsid w:val="00FB7419"/>
    <w:rsid w:val="00FB7B62"/>
    <w:rsid w:val="00FC16C2"/>
    <w:rsid w:val="00FC28D6"/>
    <w:rsid w:val="00FC2D85"/>
    <w:rsid w:val="00FC2E84"/>
    <w:rsid w:val="00FD05C2"/>
    <w:rsid w:val="00FD0816"/>
    <w:rsid w:val="00FD38DA"/>
    <w:rsid w:val="00FD40FB"/>
    <w:rsid w:val="00FD5148"/>
    <w:rsid w:val="00FD73A4"/>
    <w:rsid w:val="00FD7989"/>
    <w:rsid w:val="00FD79BB"/>
    <w:rsid w:val="00FE1CED"/>
    <w:rsid w:val="00FE260E"/>
    <w:rsid w:val="00FE2D06"/>
    <w:rsid w:val="00FE39B9"/>
    <w:rsid w:val="00FE3A3A"/>
    <w:rsid w:val="00FE3DD1"/>
    <w:rsid w:val="00FE3E27"/>
    <w:rsid w:val="00FE64D2"/>
    <w:rsid w:val="00FF2A9C"/>
    <w:rsid w:val="00FF2BCE"/>
    <w:rsid w:val="00FF50AB"/>
    <w:rsid w:val="00FF618E"/>
    <w:rsid w:val="00FF628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F61C5"/>
  <w15:docId w15:val="{C400F921-1BB5-4798-BAF5-E3345E7D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2C"/>
    <w:pPr>
      <w:tabs>
        <w:tab w:val="left" w:pos="0"/>
      </w:tabs>
    </w:pPr>
    <w:rPr>
      <w:sz w:val="24"/>
      <w:lang w:eastAsia="en-US"/>
    </w:rPr>
  </w:style>
  <w:style w:type="paragraph" w:styleId="Heading1">
    <w:name w:val="heading 1"/>
    <w:basedOn w:val="Normal"/>
    <w:next w:val="Normal"/>
    <w:qFormat/>
    <w:rsid w:val="004048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048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0482C"/>
    <w:pPr>
      <w:keepNext/>
      <w:spacing w:before="140"/>
      <w:outlineLvl w:val="2"/>
    </w:pPr>
    <w:rPr>
      <w:b/>
    </w:rPr>
  </w:style>
  <w:style w:type="paragraph" w:styleId="Heading4">
    <w:name w:val="heading 4"/>
    <w:basedOn w:val="Normal"/>
    <w:next w:val="Normal"/>
    <w:qFormat/>
    <w:rsid w:val="0040482C"/>
    <w:pPr>
      <w:keepNext/>
      <w:spacing w:before="240" w:after="60"/>
      <w:outlineLvl w:val="3"/>
    </w:pPr>
    <w:rPr>
      <w:rFonts w:ascii="Arial" w:hAnsi="Arial"/>
      <w:b/>
      <w:bCs/>
      <w:sz w:val="22"/>
      <w:szCs w:val="28"/>
    </w:rPr>
  </w:style>
  <w:style w:type="paragraph" w:styleId="Heading5">
    <w:name w:val="heading 5"/>
    <w:basedOn w:val="Normal"/>
    <w:next w:val="Normal"/>
    <w:qFormat/>
    <w:rsid w:val="00762BAD"/>
    <w:pPr>
      <w:numPr>
        <w:ilvl w:val="4"/>
        <w:numId w:val="1"/>
      </w:numPr>
      <w:spacing w:before="240" w:after="60"/>
      <w:outlineLvl w:val="4"/>
    </w:pPr>
    <w:rPr>
      <w:sz w:val="22"/>
    </w:rPr>
  </w:style>
  <w:style w:type="paragraph" w:styleId="Heading6">
    <w:name w:val="heading 6"/>
    <w:basedOn w:val="Normal"/>
    <w:next w:val="Normal"/>
    <w:qFormat/>
    <w:rsid w:val="00762BAD"/>
    <w:pPr>
      <w:numPr>
        <w:ilvl w:val="5"/>
        <w:numId w:val="1"/>
      </w:numPr>
      <w:spacing w:before="240" w:after="60"/>
      <w:outlineLvl w:val="5"/>
    </w:pPr>
    <w:rPr>
      <w:i/>
      <w:sz w:val="22"/>
    </w:rPr>
  </w:style>
  <w:style w:type="paragraph" w:styleId="Heading7">
    <w:name w:val="heading 7"/>
    <w:basedOn w:val="Normal"/>
    <w:next w:val="Normal"/>
    <w:qFormat/>
    <w:rsid w:val="00762BAD"/>
    <w:pPr>
      <w:numPr>
        <w:ilvl w:val="6"/>
        <w:numId w:val="1"/>
      </w:numPr>
      <w:spacing w:before="240" w:after="60"/>
      <w:outlineLvl w:val="6"/>
    </w:pPr>
    <w:rPr>
      <w:rFonts w:ascii="Arial" w:hAnsi="Arial"/>
      <w:sz w:val="20"/>
    </w:rPr>
  </w:style>
  <w:style w:type="paragraph" w:styleId="Heading8">
    <w:name w:val="heading 8"/>
    <w:basedOn w:val="Normal"/>
    <w:next w:val="Normal"/>
    <w:qFormat/>
    <w:rsid w:val="00762BAD"/>
    <w:pPr>
      <w:numPr>
        <w:ilvl w:val="7"/>
        <w:numId w:val="1"/>
      </w:numPr>
      <w:spacing w:before="240" w:after="60"/>
      <w:outlineLvl w:val="7"/>
    </w:pPr>
    <w:rPr>
      <w:rFonts w:ascii="Arial" w:hAnsi="Arial"/>
      <w:i/>
      <w:sz w:val="20"/>
    </w:rPr>
  </w:style>
  <w:style w:type="paragraph" w:styleId="Heading9">
    <w:name w:val="heading 9"/>
    <w:basedOn w:val="Normal"/>
    <w:next w:val="Normal"/>
    <w:qFormat/>
    <w:rsid w:val="00762BA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048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0482C"/>
  </w:style>
  <w:style w:type="paragraph" w:customStyle="1" w:styleId="00ClientCover">
    <w:name w:val="00ClientCover"/>
    <w:basedOn w:val="Normal"/>
    <w:rsid w:val="0040482C"/>
  </w:style>
  <w:style w:type="paragraph" w:customStyle="1" w:styleId="02Text">
    <w:name w:val="02Text"/>
    <w:basedOn w:val="Normal"/>
    <w:rsid w:val="0040482C"/>
  </w:style>
  <w:style w:type="paragraph" w:customStyle="1" w:styleId="BillBasic">
    <w:name w:val="BillBasic"/>
    <w:link w:val="BillBasicChar"/>
    <w:rsid w:val="0040482C"/>
    <w:pPr>
      <w:spacing w:before="140"/>
      <w:jc w:val="both"/>
    </w:pPr>
    <w:rPr>
      <w:sz w:val="24"/>
      <w:lang w:eastAsia="en-US"/>
    </w:rPr>
  </w:style>
  <w:style w:type="paragraph" w:styleId="Header">
    <w:name w:val="header"/>
    <w:basedOn w:val="Normal"/>
    <w:link w:val="HeaderChar"/>
    <w:rsid w:val="0040482C"/>
    <w:pPr>
      <w:tabs>
        <w:tab w:val="center" w:pos="4153"/>
        <w:tab w:val="right" w:pos="8306"/>
      </w:tabs>
    </w:pPr>
  </w:style>
  <w:style w:type="paragraph" w:styleId="Footer">
    <w:name w:val="footer"/>
    <w:basedOn w:val="Normal"/>
    <w:link w:val="FooterChar"/>
    <w:rsid w:val="0040482C"/>
    <w:pPr>
      <w:spacing w:before="120" w:line="240" w:lineRule="exact"/>
    </w:pPr>
    <w:rPr>
      <w:rFonts w:ascii="Arial" w:hAnsi="Arial"/>
      <w:sz w:val="18"/>
    </w:rPr>
  </w:style>
  <w:style w:type="paragraph" w:customStyle="1" w:styleId="Billname">
    <w:name w:val="Billname"/>
    <w:basedOn w:val="Normal"/>
    <w:rsid w:val="0040482C"/>
    <w:pPr>
      <w:spacing w:before="1220"/>
    </w:pPr>
    <w:rPr>
      <w:rFonts w:ascii="Arial" w:hAnsi="Arial"/>
      <w:b/>
      <w:sz w:val="40"/>
    </w:rPr>
  </w:style>
  <w:style w:type="paragraph" w:customStyle="1" w:styleId="BillBasicHeading">
    <w:name w:val="BillBasicHeading"/>
    <w:basedOn w:val="BillBasic"/>
    <w:rsid w:val="0040482C"/>
    <w:pPr>
      <w:keepNext/>
      <w:tabs>
        <w:tab w:val="left" w:pos="2600"/>
      </w:tabs>
      <w:jc w:val="left"/>
    </w:pPr>
    <w:rPr>
      <w:rFonts w:ascii="Arial" w:hAnsi="Arial"/>
      <w:b/>
    </w:rPr>
  </w:style>
  <w:style w:type="paragraph" w:customStyle="1" w:styleId="EnactingWordsRules">
    <w:name w:val="EnactingWordsRules"/>
    <w:basedOn w:val="EnactingWords"/>
    <w:rsid w:val="0040482C"/>
    <w:pPr>
      <w:spacing w:before="240"/>
    </w:pPr>
  </w:style>
  <w:style w:type="paragraph" w:customStyle="1" w:styleId="EnactingWords">
    <w:name w:val="EnactingWords"/>
    <w:basedOn w:val="BillBasic"/>
    <w:rsid w:val="0040482C"/>
    <w:pPr>
      <w:spacing w:before="120"/>
    </w:pPr>
  </w:style>
  <w:style w:type="paragraph" w:customStyle="1" w:styleId="Amain">
    <w:name w:val="A main"/>
    <w:basedOn w:val="BillBasic"/>
    <w:link w:val="AmainChar"/>
    <w:rsid w:val="0040482C"/>
    <w:pPr>
      <w:tabs>
        <w:tab w:val="right" w:pos="900"/>
        <w:tab w:val="left" w:pos="1100"/>
      </w:tabs>
      <w:ind w:left="1100" w:hanging="1100"/>
      <w:outlineLvl w:val="5"/>
    </w:pPr>
  </w:style>
  <w:style w:type="paragraph" w:customStyle="1" w:styleId="Amainreturn">
    <w:name w:val="A main return"/>
    <w:basedOn w:val="BillBasic"/>
    <w:rsid w:val="0040482C"/>
    <w:pPr>
      <w:ind w:left="1100"/>
    </w:pPr>
  </w:style>
  <w:style w:type="paragraph" w:customStyle="1" w:styleId="Apara">
    <w:name w:val="A para"/>
    <w:basedOn w:val="BillBasic"/>
    <w:rsid w:val="0040482C"/>
    <w:pPr>
      <w:tabs>
        <w:tab w:val="right" w:pos="1400"/>
        <w:tab w:val="left" w:pos="1600"/>
      </w:tabs>
      <w:ind w:left="1600" w:hanging="1600"/>
      <w:outlineLvl w:val="6"/>
    </w:pPr>
  </w:style>
  <w:style w:type="paragraph" w:customStyle="1" w:styleId="Asubpara">
    <w:name w:val="A subpara"/>
    <w:basedOn w:val="BillBasic"/>
    <w:rsid w:val="0040482C"/>
    <w:pPr>
      <w:tabs>
        <w:tab w:val="right" w:pos="1900"/>
        <w:tab w:val="left" w:pos="2100"/>
      </w:tabs>
      <w:ind w:left="2100" w:hanging="2100"/>
      <w:outlineLvl w:val="7"/>
    </w:pPr>
  </w:style>
  <w:style w:type="paragraph" w:customStyle="1" w:styleId="Asubsubpara">
    <w:name w:val="A subsubpara"/>
    <w:basedOn w:val="BillBasic"/>
    <w:rsid w:val="0040482C"/>
    <w:pPr>
      <w:tabs>
        <w:tab w:val="right" w:pos="2400"/>
        <w:tab w:val="left" w:pos="2600"/>
      </w:tabs>
      <w:ind w:left="2600" w:hanging="2600"/>
      <w:outlineLvl w:val="8"/>
    </w:pPr>
  </w:style>
  <w:style w:type="paragraph" w:customStyle="1" w:styleId="aDef">
    <w:name w:val="aDef"/>
    <w:basedOn w:val="BillBasic"/>
    <w:link w:val="aDefChar"/>
    <w:rsid w:val="0040482C"/>
    <w:pPr>
      <w:ind w:left="1100"/>
    </w:pPr>
  </w:style>
  <w:style w:type="paragraph" w:customStyle="1" w:styleId="aExamHead">
    <w:name w:val="aExam Head"/>
    <w:basedOn w:val="BillBasicHeading"/>
    <w:next w:val="aExam"/>
    <w:rsid w:val="0040482C"/>
    <w:pPr>
      <w:tabs>
        <w:tab w:val="clear" w:pos="2600"/>
      </w:tabs>
      <w:ind w:left="1100"/>
    </w:pPr>
    <w:rPr>
      <w:sz w:val="18"/>
    </w:rPr>
  </w:style>
  <w:style w:type="paragraph" w:customStyle="1" w:styleId="aExam">
    <w:name w:val="aExam"/>
    <w:basedOn w:val="aNoteSymb"/>
    <w:rsid w:val="0040482C"/>
    <w:pPr>
      <w:spacing w:before="60"/>
      <w:ind w:left="1100" w:firstLine="0"/>
    </w:pPr>
  </w:style>
  <w:style w:type="paragraph" w:customStyle="1" w:styleId="aNote">
    <w:name w:val="aNote"/>
    <w:basedOn w:val="BillBasic"/>
    <w:link w:val="aNoteChar"/>
    <w:rsid w:val="0040482C"/>
    <w:pPr>
      <w:ind w:left="1900" w:hanging="800"/>
    </w:pPr>
    <w:rPr>
      <w:sz w:val="20"/>
    </w:rPr>
  </w:style>
  <w:style w:type="paragraph" w:customStyle="1" w:styleId="HeaderEven">
    <w:name w:val="HeaderEven"/>
    <w:basedOn w:val="Normal"/>
    <w:rsid w:val="0040482C"/>
    <w:rPr>
      <w:rFonts w:ascii="Arial" w:hAnsi="Arial"/>
      <w:sz w:val="18"/>
    </w:rPr>
  </w:style>
  <w:style w:type="paragraph" w:customStyle="1" w:styleId="HeaderEven6">
    <w:name w:val="HeaderEven6"/>
    <w:basedOn w:val="HeaderEven"/>
    <w:rsid w:val="0040482C"/>
    <w:pPr>
      <w:spacing w:before="120" w:after="60"/>
    </w:pPr>
  </w:style>
  <w:style w:type="paragraph" w:customStyle="1" w:styleId="HeaderOdd6">
    <w:name w:val="HeaderOdd6"/>
    <w:basedOn w:val="HeaderEven6"/>
    <w:rsid w:val="0040482C"/>
    <w:pPr>
      <w:jc w:val="right"/>
    </w:pPr>
  </w:style>
  <w:style w:type="paragraph" w:customStyle="1" w:styleId="HeaderOdd">
    <w:name w:val="HeaderOdd"/>
    <w:basedOn w:val="HeaderEven"/>
    <w:rsid w:val="0040482C"/>
    <w:pPr>
      <w:jc w:val="right"/>
    </w:pPr>
  </w:style>
  <w:style w:type="paragraph" w:customStyle="1" w:styleId="N-TOCheading">
    <w:name w:val="N-TOCheading"/>
    <w:basedOn w:val="BillBasicHeading"/>
    <w:next w:val="N-9pt"/>
    <w:rsid w:val="0040482C"/>
    <w:pPr>
      <w:pBdr>
        <w:bottom w:val="single" w:sz="4" w:space="1" w:color="auto"/>
      </w:pBdr>
      <w:spacing w:before="800"/>
    </w:pPr>
    <w:rPr>
      <w:sz w:val="32"/>
    </w:rPr>
  </w:style>
  <w:style w:type="paragraph" w:customStyle="1" w:styleId="N-9pt">
    <w:name w:val="N-9pt"/>
    <w:basedOn w:val="BillBasic"/>
    <w:next w:val="BillBasic"/>
    <w:rsid w:val="0040482C"/>
    <w:pPr>
      <w:keepNext/>
      <w:tabs>
        <w:tab w:val="right" w:pos="7707"/>
      </w:tabs>
      <w:spacing w:before="120"/>
    </w:pPr>
    <w:rPr>
      <w:rFonts w:ascii="Arial" w:hAnsi="Arial"/>
      <w:sz w:val="18"/>
    </w:rPr>
  </w:style>
  <w:style w:type="paragraph" w:customStyle="1" w:styleId="N-14pt">
    <w:name w:val="N-14pt"/>
    <w:basedOn w:val="BillBasic"/>
    <w:rsid w:val="0040482C"/>
    <w:pPr>
      <w:spacing w:before="0"/>
    </w:pPr>
    <w:rPr>
      <w:b/>
      <w:sz w:val="28"/>
    </w:rPr>
  </w:style>
  <w:style w:type="paragraph" w:customStyle="1" w:styleId="N-16pt">
    <w:name w:val="N-16pt"/>
    <w:basedOn w:val="BillBasic"/>
    <w:rsid w:val="0040482C"/>
    <w:pPr>
      <w:spacing w:before="800"/>
    </w:pPr>
    <w:rPr>
      <w:b/>
      <w:sz w:val="32"/>
    </w:rPr>
  </w:style>
  <w:style w:type="paragraph" w:customStyle="1" w:styleId="N-line3">
    <w:name w:val="N-line3"/>
    <w:basedOn w:val="BillBasic"/>
    <w:next w:val="BillBasic"/>
    <w:rsid w:val="0040482C"/>
    <w:pPr>
      <w:pBdr>
        <w:bottom w:val="single" w:sz="12" w:space="1" w:color="auto"/>
      </w:pBdr>
      <w:spacing w:before="60"/>
    </w:pPr>
  </w:style>
  <w:style w:type="paragraph" w:customStyle="1" w:styleId="Comment">
    <w:name w:val="Comment"/>
    <w:basedOn w:val="BillBasic"/>
    <w:rsid w:val="0040482C"/>
    <w:pPr>
      <w:tabs>
        <w:tab w:val="left" w:pos="1800"/>
      </w:tabs>
      <w:ind w:left="1300"/>
      <w:jc w:val="left"/>
    </w:pPr>
    <w:rPr>
      <w:b/>
      <w:sz w:val="18"/>
    </w:rPr>
  </w:style>
  <w:style w:type="paragraph" w:customStyle="1" w:styleId="FooterInfo">
    <w:name w:val="FooterInfo"/>
    <w:basedOn w:val="Normal"/>
    <w:rsid w:val="0040482C"/>
    <w:pPr>
      <w:tabs>
        <w:tab w:val="right" w:pos="7707"/>
      </w:tabs>
    </w:pPr>
    <w:rPr>
      <w:rFonts w:ascii="Arial" w:hAnsi="Arial"/>
      <w:sz w:val="18"/>
    </w:rPr>
  </w:style>
  <w:style w:type="paragraph" w:customStyle="1" w:styleId="AH1Chapter">
    <w:name w:val="A H1 Chapter"/>
    <w:basedOn w:val="BillBasicHeading"/>
    <w:next w:val="AH2Part"/>
    <w:rsid w:val="0040482C"/>
    <w:pPr>
      <w:spacing w:before="320"/>
      <w:ind w:left="2600" w:hanging="2600"/>
      <w:outlineLvl w:val="0"/>
    </w:pPr>
    <w:rPr>
      <w:sz w:val="34"/>
    </w:rPr>
  </w:style>
  <w:style w:type="paragraph" w:customStyle="1" w:styleId="AH2Part">
    <w:name w:val="A H2 Part"/>
    <w:basedOn w:val="BillBasicHeading"/>
    <w:next w:val="AH3Div"/>
    <w:rsid w:val="0040482C"/>
    <w:pPr>
      <w:spacing w:before="380"/>
      <w:ind w:left="2600" w:hanging="2600"/>
      <w:outlineLvl w:val="1"/>
    </w:pPr>
    <w:rPr>
      <w:sz w:val="32"/>
    </w:rPr>
  </w:style>
  <w:style w:type="paragraph" w:customStyle="1" w:styleId="AH3Div">
    <w:name w:val="A H3 Div"/>
    <w:basedOn w:val="BillBasicHeading"/>
    <w:next w:val="AH5Sec"/>
    <w:rsid w:val="0040482C"/>
    <w:pPr>
      <w:spacing w:before="240"/>
      <w:ind w:left="2600" w:hanging="2600"/>
      <w:outlineLvl w:val="2"/>
    </w:pPr>
    <w:rPr>
      <w:sz w:val="28"/>
    </w:rPr>
  </w:style>
  <w:style w:type="paragraph" w:customStyle="1" w:styleId="AH5Sec">
    <w:name w:val="A H5 Sec"/>
    <w:basedOn w:val="BillBasicHeading"/>
    <w:next w:val="Amain"/>
    <w:link w:val="AH5SecChar"/>
    <w:rsid w:val="0040482C"/>
    <w:pPr>
      <w:tabs>
        <w:tab w:val="clear" w:pos="2600"/>
        <w:tab w:val="left" w:pos="1100"/>
      </w:tabs>
      <w:spacing w:before="240"/>
      <w:ind w:left="1100" w:hanging="1100"/>
      <w:outlineLvl w:val="4"/>
    </w:pPr>
  </w:style>
  <w:style w:type="paragraph" w:customStyle="1" w:styleId="direction">
    <w:name w:val="direction"/>
    <w:basedOn w:val="BillBasic"/>
    <w:next w:val="AmainreturnSymb"/>
    <w:rsid w:val="0040482C"/>
    <w:pPr>
      <w:keepNext/>
      <w:ind w:left="1100"/>
    </w:pPr>
    <w:rPr>
      <w:i/>
    </w:rPr>
  </w:style>
  <w:style w:type="paragraph" w:customStyle="1" w:styleId="AH4SubDiv">
    <w:name w:val="A H4 SubDiv"/>
    <w:basedOn w:val="BillBasicHeading"/>
    <w:next w:val="AH5Sec"/>
    <w:rsid w:val="0040482C"/>
    <w:pPr>
      <w:spacing w:before="240"/>
      <w:ind w:left="2600" w:hanging="2600"/>
      <w:outlineLvl w:val="3"/>
    </w:pPr>
    <w:rPr>
      <w:sz w:val="26"/>
    </w:rPr>
  </w:style>
  <w:style w:type="paragraph" w:customStyle="1" w:styleId="Sched-heading">
    <w:name w:val="Sched-heading"/>
    <w:basedOn w:val="BillBasicHeading"/>
    <w:next w:val="refSymb"/>
    <w:rsid w:val="0040482C"/>
    <w:pPr>
      <w:spacing w:before="380"/>
      <w:ind w:left="2600" w:hanging="2600"/>
      <w:outlineLvl w:val="0"/>
    </w:pPr>
    <w:rPr>
      <w:sz w:val="34"/>
    </w:rPr>
  </w:style>
  <w:style w:type="paragraph" w:customStyle="1" w:styleId="ref">
    <w:name w:val="ref"/>
    <w:basedOn w:val="BillBasic"/>
    <w:next w:val="Normal"/>
    <w:rsid w:val="0040482C"/>
    <w:pPr>
      <w:spacing w:before="60"/>
    </w:pPr>
    <w:rPr>
      <w:sz w:val="18"/>
    </w:rPr>
  </w:style>
  <w:style w:type="paragraph" w:customStyle="1" w:styleId="Sched-Part">
    <w:name w:val="Sched-Part"/>
    <w:basedOn w:val="BillBasicHeading"/>
    <w:next w:val="Sched-Form"/>
    <w:rsid w:val="0040482C"/>
    <w:pPr>
      <w:spacing w:before="380"/>
      <w:ind w:left="2600" w:hanging="2600"/>
      <w:outlineLvl w:val="1"/>
    </w:pPr>
    <w:rPr>
      <w:sz w:val="32"/>
    </w:rPr>
  </w:style>
  <w:style w:type="paragraph" w:customStyle="1" w:styleId="ShadedSchClause">
    <w:name w:val="Shaded Sch Clause"/>
    <w:basedOn w:val="Schclauseheading"/>
    <w:next w:val="direction"/>
    <w:rsid w:val="0040482C"/>
    <w:pPr>
      <w:shd w:val="pct25" w:color="auto" w:fill="auto"/>
      <w:outlineLvl w:val="3"/>
    </w:pPr>
  </w:style>
  <w:style w:type="paragraph" w:customStyle="1" w:styleId="Sched-Form">
    <w:name w:val="Sched-Form"/>
    <w:basedOn w:val="BillBasicHeading"/>
    <w:next w:val="Schclauseheading"/>
    <w:rsid w:val="0040482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0482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0482C"/>
    <w:pPr>
      <w:spacing w:before="320"/>
      <w:ind w:left="2600" w:hanging="2600"/>
      <w:jc w:val="both"/>
      <w:outlineLvl w:val="0"/>
    </w:pPr>
    <w:rPr>
      <w:sz w:val="34"/>
    </w:rPr>
  </w:style>
  <w:style w:type="paragraph" w:styleId="TOC7">
    <w:name w:val="toc 7"/>
    <w:basedOn w:val="TOC2"/>
    <w:next w:val="Normal"/>
    <w:autoRedefine/>
    <w:uiPriority w:val="39"/>
    <w:rsid w:val="0040482C"/>
    <w:pPr>
      <w:keepNext w:val="0"/>
      <w:spacing w:before="120"/>
    </w:pPr>
    <w:rPr>
      <w:sz w:val="20"/>
    </w:rPr>
  </w:style>
  <w:style w:type="paragraph" w:styleId="TOC2">
    <w:name w:val="toc 2"/>
    <w:basedOn w:val="Normal"/>
    <w:next w:val="Normal"/>
    <w:autoRedefine/>
    <w:uiPriority w:val="39"/>
    <w:rsid w:val="0040482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0482C"/>
    <w:pPr>
      <w:keepNext/>
      <w:tabs>
        <w:tab w:val="left" w:pos="400"/>
      </w:tabs>
      <w:spacing w:before="0"/>
      <w:jc w:val="left"/>
    </w:pPr>
    <w:rPr>
      <w:rFonts w:ascii="Arial" w:hAnsi="Arial"/>
      <w:b/>
      <w:sz w:val="28"/>
    </w:rPr>
  </w:style>
  <w:style w:type="paragraph" w:customStyle="1" w:styleId="EndNote2">
    <w:name w:val="EndNote2"/>
    <w:basedOn w:val="BillBasic"/>
    <w:rsid w:val="00762BAD"/>
    <w:pPr>
      <w:keepNext/>
      <w:tabs>
        <w:tab w:val="left" w:pos="240"/>
      </w:tabs>
      <w:spacing w:before="320"/>
      <w:jc w:val="left"/>
    </w:pPr>
    <w:rPr>
      <w:b/>
      <w:sz w:val="18"/>
    </w:rPr>
  </w:style>
  <w:style w:type="paragraph" w:customStyle="1" w:styleId="IH1Chap">
    <w:name w:val="I H1 Chap"/>
    <w:basedOn w:val="BillBasicHeading"/>
    <w:next w:val="Normal"/>
    <w:rsid w:val="0040482C"/>
    <w:pPr>
      <w:spacing w:before="320"/>
      <w:ind w:left="2600" w:hanging="2600"/>
    </w:pPr>
    <w:rPr>
      <w:sz w:val="34"/>
    </w:rPr>
  </w:style>
  <w:style w:type="paragraph" w:customStyle="1" w:styleId="IH2Part">
    <w:name w:val="I H2 Part"/>
    <w:basedOn w:val="BillBasicHeading"/>
    <w:next w:val="Normal"/>
    <w:rsid w:val="0040482C"/>
    <w:pPr>
      <w:spacing w:before="380"/>
      <w:ind w:left="2600" w:hanging="2600"/>
    </w:pPr>
    <w:rPr>
      <w:sz w:val="32"/>
    </w:rPr>
  </w:style>
  <w:style w:type="paragraph" w:customStyle="1" w:styleId="IH3Div">
    <w:name w:val="I H3 Div"/>
    <w:basedOn w:val="BillBasicHeading"/>
    <w:next w:val="Normal"/>
    <w:rsid w:val="0040482C"/>
    <w:pPr>
      <w:spacing w:before="240"/>
      <w:ind w:left="2600" w:hanging="2600"/>
    </w:pPr>
    <w:rPr>
      <w:sz w:val="28"/>
    </w:rPr>
  </w:style>
  <w:style w:type="paragraph" w:customStyle="1" w:styleId="IH5Sec">
    <w:name w:val="I H5 Sec"/>
    <w:basedOn w:val="BillBasicHeading"/>
    <w:next w:val="Normal"/>
    <w:rsid w:val="0040482C"/>
    <w:pPr>
      <w:tabs>
        <w:tab w:val="clear" w:pos="2600"/>
        <w:tab w:val="left" w:pos="1100"/>
      </w:tabs>
      <w:spacing w:before="240"/>
      <w:ind w:left="1100" w:hanging="1100"/>
    </w:pPr>
  </w:style>
  <w:style w:type="paragraph" w:customStyle="1" w:styleId="IH4SubDiv">
    <w:name w:val="I H4 SubDiv"/>
    <w:basedOn w:val="BillBasicHeading"/>
    <w:next w:val="Normal"/>
    <w:rsid w:val="0040482C"/>
    <w:pPr>
      <w:spacing w:before="240"/>
      <w:ind w:left="2600" w:hanging="2600"/>
      <w:jc w:val="both"/>
    </w:pPr>
    <w:rPr>
      <w:sz w:val="26"/>
    </w:rPr>
  </w:style>
  <w:style w:type="character" w:styleId="LineNumber">
    <w:name w:val="line number"/>
    <w:basedOn w:val="DefaultParagraphFont"/>
    <w:rsid w:val="0040482C"/>
    <w:rPr>
      <w:rFonts w:ascii="Arial" w:hAnsi="Arial"/>
      <w:sz w:val="16"/>
    </w:rPr>
  </w:style>
  <w:style w:type="paragraph" w:customStyle="1" w:styleId="PageBreak">
    <w:name w:val="PageBreak"/>
    <w:basedOn w:val="Normal"/>
    <w:rsid w:val="0040482C"/>
    <w:rPr>
      <w:sz w:val="4"/>
    </w:rPr>
  </w:style>
  <w:style w:type="paragraph" w:customStyle="1" w:styleId="04Dictionary">
    <w:name w:val="04Dictionary"/>
    <w:basedOn w:val="Normal"/>
    <w:rsid w:val="0040482C"/>
  </w:style>
  <w:style w:type="paragraph" w:customStyle="1" w:styleId="N-line1">
    <w:name w:val="N-line1"/>
    <w:basedOn w:val="BillBasic"/>
    <w:rsid w:val="0040482C"/>
    <w:pPr>
      <w:pBdr>
        <w:bottom w:val="single" w:sz="4" w:space="0" w:color="auto"/>
      </w:pBdr>
      <w:spacing w:before="100"/>
      <w:ind w:left="2980" w:right="3020"/>
      <w:jc w:val="center"/>
    </w:pPr>
  </w:style>
  <w:style w:type="paragraph" w:customStyle="1" w:styleId="N-line2">
    <w:name w:val="N-line2"/>
    <w:basedOn w:val="Normal"/>
    <w:rsid w:val="0040482C"/>
    <w:pPr>
      <w:pBdr>
        <w:bottom w:val="single" w:sz="8" w:space="0" w:color="auto"/>
      </w:pBdr>
    </w:pPr>
  </w:style>
  <w:style w:type="paragraph" w:customStyle="1" w:styleId="EndNote">
    <w:name w:val="EndNote"/>
    <w:basedOn w:val="BillBasicHeading"/>
    <w:rsid w:val="0040482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0482C"/>
    <w:pPr>
      <w:tabs>
        <w:tab w:val="left" w:pos="700"/>
      </w:tabs>
      <w:spacing w:before="160"/>
      <w:ind w:left="700" w:hanging="700"/>
    </w:pPr>
    <w:rPr>
      <w:rFonts w:ascii="Arial (W1)" w:hAnsi="Arial (W1)"/>
    </w:rPr>
  </w:style>
  <w:style w:type="paragraph" w:customStyle="1" w:styleId="PenaltyHeading">
    <w:name w:val="PenaltyHeading"/>
    <w:basedOn w:val="Normal"/>
    <w:rsid w:val="0040482C"/>
    <w:pPr>
      <w:tabs>
        <w:tab w:val="left" w:pos="1100"/>
      </w:tabs>
      <w:spacing w:before="120"/>
      <w:ind w:left="1100" w:hanging="1100"/>
    </w:pPr>
    <w:rPr>
      <w:rFonts w:ascii="Arial" w:hAnsi="Arial"/>
      <w:b/>
      <w:sz w:val="20"/>
    </w:rPr>
  </w:style>
  <w:style w:type="paragraph" w:customStyle="1" w:styleId="05EndNote">
    <w:name w:val="05EndNote"/>
    <w:basedOn w:val="Normal"/>
    <w:rsid w:val="0040482C"/>
  </w:style>
  <w:style w:type="paragraph" w:customStyle="1" w:styleId="03Schedule">
    <w:name w:val="03Schedule"/>
    <w:basedOn w:val="Normal"/>
    <w:rsid w:val="0040482C"/>
  </w:style>
  <w:style w:type="paragraph" w:customStyle="1" w:styleId="ISched-heading">
    <w:name w:val="I Sched-heading"/>
    <w:basedOn w:val="BillBasicHeading"/>
    <w:next w:val="Normal"/>
    <w:rsid w:val="0040482C"/>
    <w:pPr>
      <w:spacing w:before="320"/>
      <w:ind w:left="2600" w:hanging="2600"/>
    </w:pPr>
    <w:rPr>
      <w:sz w:val="34"/>
    </w:rPr>
  </w:style>
  <w:style w:type="paragraph" w:customStyle="1" w:styleId="ISched-Part">
    <w:name w:val="I Sched-Part"/>
    <w:basedOn w:val="BillBasicHeading"/>
    <w:rsid w:val="0040482C"/>
    <w:pPr>
      <w:spacing w:before="380"/>
      <w:ind w:left="2600" w:hanging="2600"/>
    </w:pPr>
    <w:rPr>
      <w:sz w:val="32"/>
    </w:rPr>
  </w:style>
  <w:style w:type="paragraph" w:customStyle="1" w:styleId="ISched-form">
    <w:name w:val="I Sched-form"/>
    <w:basedOn w:val="BillBasicHeading"/>
    <w:rsid w:val="0040482C"/>
    <w:pPr>
      <w:tabs>
        <w:tab w:val="right" w:pos="7200"/>
      </w:tabs>
      <w:spacing w:before="240"/>
      <w:ind w:left="2600" w:hanging="2600"/>
    </w:pPr>
    <w:rPr>
      <w:sz w:val="28"/>
    </w:rPr>
  </w:style>
  <w:style w:type="paragraph" w:customStyle="1" w:styleId="ISchclauseheading">
    <w:name w:val="I Sch clause heading"/>
    <w:basedOn w:val="BillBasic"/>
    <w:rsid w:val="0040482C"/>
    <w:pPr>
      <w:keepNext/>
      <w:tabs>
        <w:tab w:val="left" w:pos="1100"/>
      </w:tabs>
      <w:spacing w:before="240"/>
      <w:ind w:left="1100" w:hanging="1100"/>
      <w:jc w:val="left"/>
    </w:pPr>
    <w:rPr>
      <w:rFonts w:ascii="Arial" w:hAnsi="Arial"/>
      <w:b/>
    </w:rPr>
  </w:style>
  <w:style w:type="paragraph" w:customStyle="1" w:styleId="IMain">
    <w:name w:val="I Main"/>
    <w:basedOn w:val="Amain"/>
    <w:rsid w:val="0040482C"/>
  </w:style>
  <w:style w:type="paragraph" w:customStyle="1" w:styleId="Ipara">
    <w:name w:val="I para"/>
    <w:basedOn w:val="Apara"/>
    <w:rsid w:val="0040482C"/>
    <w:pPr>
      <w:outlineLvl w:val="9"/>
    </w:pPr>
  </w:style>
  <w:style w:type="paragraph" w:customStyle="1" w:styleId="Isubpara">
    <w:name w:val="I subpara"/>
    <w:basedOn w:val="Asubpara"/>
    <w:rsid w:val="004048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0482C"/>
    <w:pPr>
      <w:tabs>
        <w:tab w:val="clear" w:pos="2400"/>
        <w:tab w:val="clear" w:pos="2600"/>
        <w:tab w:val="right" w:pos="2460"/>
        <w:tab w:val="left" w:pos="2660"/>
      </w:tabs>
      <w:ind w:left="2660" w:hanging="2660"/>
    </w:pPr>
  </w:style>
  <w:style w:type="character" w:customStyle="1" w:styleId="CharSectNo">
    <w:name w:val="CharSectNo"/>
    <w:basedOn w:val="DefaultParagraphFont"/>
    <w:rsid w:val="0040482C"/>
  </w:style>
  <w:style w:type="character" w:customStyle="1" w:styleId="CharDivNo">
    <w:name w:val="CharDivNo"/>
    <w:basedOn w:val="DefaultParagraphFont"/>
    <w:rsid w:val="0040482C"/>
  </w:style>
  <w:style w:type="character" w:customStyle="1" w:styleId="CharDivText">
    <w:name w:val="CharDivText"/>
    <w:basedOn w:val="DefaultParagraphFont"/>
    <w:rsid w:val="0040482C"/>
  </w:style>
  <w:style w:type="character" w:customStyle="1" w:styleId="CharPartNo">
    <w:name w:val="CharPartNo"/>
    <w:basedOn w:val="DefaultParagraphFont"/>
    <w:rsid w:val="0040482C"/>
  </w:style>
  <w:style w:type="paragraph" w:customStyle="1" w:styleId="Placeholder">
    <w:name w:val="Placeholder"/>
    <w:basedOn w:val="Normal"/>
    <w:rsid w:val="0040482C"/>
    <w:rPr>
      <w:sz w:val="10"/>
    </w:rPr>
  </w:style>
  <w:style w:type="paragraph" w:styleId="PlainText">
    <w:name w:val="Plain Text"/>
    <w:basedOn w:val="Normal"/>
    <w:rsid w:val="0040482C"/>
    <w:rPr>
      <w:rFonts w:ascii="Courier New" w:hAnsi="Courier New"/>
      <w:sz w:val="20"/>
    </w:rPr>
  </w:style>
  <w:style w:type="character" w:customStyle="1" w:styleId="CharChapNo">
    <w:name w:val="CharChapNo"/>
    <w:basedOn w:val="DefaultParagraphFont"/>
    <w:rsid w:val="0040482C"/>
  </w:style>
  <w:style w:type="character" w:customStyle="1" w:styleId="CharChapText">
    <w:name w:val="CharChapText"/>
    <w:basedOn w:val="DefaultParagraphFont"/>
    <w:rsid w:val="0040482C"/>
  </w:style>
  <w:style w:type="character" w:customStyle="1" w:styleId="CharPartText">
    <w:name w:val="CharPartText"/>
    <w:basedOn w:val="DefaultParagraphFont"/>
    <w:rsid w:val="0040482C"/>
  </w:style>
  <w:style w:type="paragraph" w:styleId="TOC1">
    <w:name w:val="toc 1"/>
    <w:basedOn w:val="Normal"/>
    <w:next w:val="Normal"/>
    <w:autoRedefine/>
    <w:rsid w:val="0040482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048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048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048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0482C"/>
  </w:style>
  <w:style w:type="paragraph" w:styleId="Title">
    <w:name w:val="Title"/>
    <w:basedOn w:val="Normal"/>
    <w:qFormat/>
    <w:rsid w:val="00762BAD"/>
    <w:pPr>
      <w:spacing w:before="240" w:after="60"/>
      <w:jc w:val="center"/>
      <w:outlineLvl w:val="0"/>
    </w:pPr>
    <w:rPr>
      <w:rFonts w:ascii="Arial" w:hAnsi="Arial"/>
      <w:b/>
      <w:kern w:val="28"/>
      <w:sz w:val="32"/>
    </w:rPr>
  </w:style>
  <w:style w:type="paragraph" w:styleId="Signature">
    <w:name w:val="Signature"/>
    <w:basedOn w:val="Normal"/>
    <w:rsid w:val="0040482C"/>
    <w:pPr>
      <w:ind w:left="4252"/>
    </w:pPr>
  </w:style>
  <w:style w:type="paragraph" w:customStyle="1" w:styleId="ActNo">
    <w:name w:val="ActNo"/>
    <w:basedOn w:val="BillBasicHeading"/>
    <w:rsid w:val="0040482C"/>
    <w:pPr>
      <w:keepNext w:val="0"/>
      <w:tabs>
        <w:tab w:val="clear" w:pos="2600"/>
      </w:tabs>
      <w:spacing w:before="220"/>
    </w:pPr>
  </w:style>
  <w:style w:type="paragraph" w:customStyle="1" w:styleId="aParaNote">
    <w:name w:val="aParaNote"/>
    <w:basedOn w:val="BillBasic"/>
    <w:rsid w:val="0040482C"/>
    <w:pPr>
      <w:ind w:left="2840" w:hanging="1240"/>
    </w:pPr>
    <w:rPr>
      <w:sz w:val="20"/>
    </w:rPr>
  </w:style>
  <w:style w:type="paragraph" w:customStyle="1" w:styleId="aExamNum">
    <w:name w:val="aExamNum"/>
    <w:basedOn w:val="aExam"/>
    <w:rsid w:val="0040482C"/>
    <w:pPr>
      <w:ind w:left="1500" w:hanging="400"/>
    </w:pPr>
  </w:style>
  <w:style w:type="paragraph" w:customStyle="1" w:styleId="LongTitle">
    <w:name w:val="LongTitle"/>
    <w:basedOn w:val="BillBasic"/>
    <w:rsid w:val="0040482C"/>
    <w:pPr>
      <w:spacing w:before="300"/>
    </w:pPr>
  </w:style>
  <w:style w:type="paragraph" w:customStyle="1" w:styleId="Minister">
    <w:name w:val="Minister"/>
    <w:basedOn w:val="BillBasic"/>
    <w:rsid w:val="0040482C"/>
    <w:pPr>
      <w:spacing w:before="640"/>
      <w:jc w:val="right"/>
    </w:pPr>
    <w:rPr>
      <w:caps/>
    </w:rPr>
  </w:style>
  <w:style w:type="paragraph" w:customStyle="1" w:styleId="DateLine">
    <w:name w:val="DateLine"/>
    <w:basedOn w:val="BillBasic"/>
    <w:rsid w:val="0040482C"/>
    <w:pPr>
      <w:tabs>
        <w:tab w:val="left" w:pos="4320"/>
      </w:tabs>
    </w:pPr>
  </w:style>
  <w:style w:type="paragraph" w:customStyle="1" w:styleId="madeunder">
    <w:name w:val="made under"/>
    <w:basedOn w:val="BillBasic"/>
    <w:rsid w:val="0040482C"/>
    <w:pPr>
      <w:spacing w:before="240"/>
    </w:pPr>
  </w:style>
  <w:style w:type="paragraph" w:customStyle="1" w:styleId="EndNoteSubHeading">
    <w:name w:val="EndNoteSubHeading"/>
    <w:basedOn w:val="Normal"/>
    <w:next w:val="EndNoteText"/>
    <w:rsid w:val="00762BAD"/>
    <w:pPr>
      <w:keepNext/>
      <w:tabs>
        <w:tab w:val="left" w:pos="700"/>
      </w:tabs>
      <w:spacing w:before="240"/>
      <w:ind w:left="700" w:hanging="700"/>
    </w:pPr>
    <w:rPr>
      <w:rFonts w:ascii="Arial" w:hAnsi="Arial"/>
      <w:b/>
      <w:sz w:val="20"/>
    </w:rPr>
  </w:style>
  <w:style w:type="paragraph" w:customStyle="1" w:styleId="EndNoteText">
    <w:name w:val="EndNoteText"/>
    <w:basedOn w:val="BillBasic"/>
    <w:rsid w:val="0040482C"/>
    <w:pPr>
      <w:tabs>
        <w:tab w:val="left" w:pos="700"/>
        <w:tab w:val="right" w:pos="6160"/>
      </w:tabs>
      <w:spacing w:before="80"/>
      <w:ind w:left="700" w:hanging="700"/>
    </w:pPr>
    <w:rPr>
      <w:sz w:val="20"/>
    </w:rPr>
  </w:style>
  <w:style w:type="paragraph" w:customStyle="1" w:styleId="BillBasicItalics">
    <w:name w:val="BillBasicItalics"/>
    <w:basedOn w:val="BillBasic"/>
    <w:rsid w:val="0040482C"/>
    <w:rPr>
      <w:i/>
    </w:rPr>
  </w:style>
  <w:style w:type="paragraph" w:customStyle="1" w:styleId="00SigningPage">
    <w:name w:val="00SigningPage"/>
    <w:basedOn w:val="Normal"/>
    <w:rsid w:val="0040482C"/>
  </w:style>
  <w:style w:type="paragraph" w:customStyle="1" w:styleId="Aparareturn">
    <w:name w:val="A para return"/>
    <w:basedOn w:val="BillBasic"/>
    <w:rsid w:val="0040482C"/>
    <w:pPr>
      <w:ind w:left="1600"/>
    </w:pPr>
  </w:style>
  <w:style w:type="paragraph" w:customStyle="1" w:styleId="Asubparareturn">
    <w:name w:val="A subpara return"/>
    <w:basedOn w:val="BillBasic"/>
    <w:rsid w:val="0040482C"/>
    <w:pPr>
      <w:ind w:left="2100"/>
    </w:pPr>
  </w:style>
  <w:style w:type="paragraph" w:customStyle="1" w:styleId="CommentNum">
    <w:name w:val="CommentNum"/>
    <w:basedOn w:val="Comment"/>
    <w:rsid w:val="0040482C"/>
    <w:pPr>
      <w:ind w:left="1800" w:hanging="1800"/>
    </w:pPr>
  </w:style>
  <w:style w:type="paragraph" w:styleId="TOC8">
    <w:name w:val="toc 8"/>
    <w:basedOn w:val="TOC3"/>
    <w:next w:val="Normal"/>
    <w:autoRedefine/>
    <w:rsid w:val="0040482C"/>
    <w:pPr>
      <w:keepNext w:val="0"/>
      <w:spacing w:before="120"/>
    </w:pPr>
  </w:style>
  <w:style w:type="paragraph" w:customStyle="1" w:styleId="Judges">
    <w:name w:val="Judges"/>
    <w:basedOn w:val="Minister"/>
    <w:rsid w:val="0040482C"/>
    <w:pPr>
      <w:spacing w:before="180"/>
    </w:pPr>
  </w:style>
  <w:style w:type="paragraph" w:customStyle="1" w:styleId="BillFor">
    <w:name w:val="BillFor"/>
    <w:basedOn w:val="BillBasicHeading"/>
    <w:rsid w:val="0040482C"/>
    <w:pPr>
      <w:keepNext w:val="0"/>
      <w:spacing w:before="320"/>
      <w:jc w:val="both"/>
    </w:pPr>
    <w:rPr>
      <w:sz w:val="28"/>
    </w:rPr>
  </w:style>
  <w:style w:type="paragraph" w:customStyle="1" w:styleId="draft">
    <w:name w:val="draft"/>
    <w:basedOn w:val="Normal"/>
    <w:rsid w:val="004048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0482C"/>
    <w:pPr>
      <w:spacing w:line="260" w:lineRule="atLeast"/>
      <w:jc w:val="center"/>
    </w:pPr>
  </w:style>
  <w:style w:type="paragraph" w:customStyle="1" w:styleId="Amainbullet">
    <w:name w:val="A main bullet"/>
    <w:basedOn w:val="BillBasic"/>
    <w:rsid w:val="0040482C"/>
    <w:pPr>
      <w:spacing w:before="60"/>
      <w:ind w:left="1500" w:hanging="400"/>
    </w:pPr>
  </w:style>
  <w:style w:type="paragraph" w:customStyle="1" w:styleId="Aparabullet">
    <w:name w:val="A para bullet"/>
    <w:basedOn w:val="BillBasic"/>
    <w:rsid w:val="0040482C"/>
    <w:pPr>
      <w:spacing w:before="60"/>
      <w:ind w:left="2000" w:hanging="400"/>
    </w:pPr>
  </w:style>
  <w:style w:type="paragraph" w:customStyle="1" w:styleId="Asubparabullet">
    <w:name w:val="A subpara bullet"/>
    <w:basedOn w:val="BillBasic"/>
    <w:rsid w:val="0040482C"/>
    <w:pPr>
      <w:spacing w:before="60"/>
      <w:ind w:left="2540" w:hanging="400"/>
    </w:pPr>
  </w:style>
  <w:style w:type="paragraph" w:customStyle="1" w:styleId="aDefpara">
    <w:name w:val="aDef para"/>
    <w:basedOn w:val="Apara"/>
    <w:rsid w:val="0040482C"/>
  </w:style>
  <w:style w:type="paragraph" w:customStyle="1" w:styleId="aDefsubpara">
    <w:name w:val="aDef subpara"/>
    <w:basedOn w:val="Asubpara"/>
    <w:rsid w:val="0040482C"/>
  </w:style>
  <w:style w:type="paragraph" w:customStyle="1" w:styleId="Idefpara">
    <w:name w:val="I def para"/>
    <w:basedOn w:val="Ipara"/>
    <w:rsid w:val="0040482C"/>
  </w:style>
  <w:style w:type="paragraph" w:customStyle="1" w:styleId="Idefsubpara">
    <w:name w:val="I def subpara"/>
    <w:basedOn w:val="Isubpara"/>
    <w:rsid w:val="0040482C"/>
  </w:style>
  <w:style w:type="paragraph" w:customStyle="1" w:styleId="Notified">
    <w:name w:val="Notified"/>
    <w:basedOn w:val="BillBasic"/>
    <w:rsid w:val="0040482C"/>
    <w:pPr>
      <w:spacing w:before="360"/>
      <w:jc w:val="right"/>
    </w:pPr>
    <w:rPr>
      <w:i/>
    </w:rPr>
  </w:style>
  <w:style w:type="paragraph" w:customStyle="1" w:styleId="03ScheduleLandscape">
    <w:name w:val="03ScheduleLandscape"/>
    <w:basedOn w:val="Normal"/>
    <w:rsid w:val="0040482C"/>
  </w:style>
  <w:style w:type="paragraph" w:customStyle="1" w:styleId="IDict-Heading">
    <w:name w:val="I Dict-Heading"/>
    <w:basedOn w:val="BillBasicHeading"/>
    <w:rsid w:val="0040482C"/>
    <w:pPr>
      <w:spacing w:before="320"/>
      <w:ind w:left="2600" w:hanging="2600"/>
      <w:jc w:val="both"/>
    </w:pPr>
    <w:rPr>
      <w:sz w:val="34"/>
    </w:rPr>
  </w:style>
  <w:style w:type="paragraph" w:customStyle="1" w:styleId="02TextLandscape">
    <w:name w:val="02TextLandscape"/>
    <w:basedOn w:val="Normal"/>
    <w:rsid w:val="0040482C"/>
  </w:style>
  <w:style w:type="paragraph" w:styleId="Salutation">
    <w:name w:val="Salutation"/>
    <w:basedOn w:val="Normal"/>
    <w:next w:val="Normal"/>
    <w:rsid w:val="00762BAD"/>
  </w:style>
  <w:style w:type="paragraph" w:customStyle="1" w:styleId="aNoteBullet">
    <w:name w:val="aNoteBullet"/>
    <w:basedOn w:val="aNoteSymb"/>
    <w:rsid w:val="0040482C"/>
    <w:pPr>
      <w:tabs>
        <w:tab w:val="left" w:pos="2200"/>
      </w:tabs>
      <w:spacing w:before="60"/>
      <w:ind w:left="2600" w:hanging="700"/>
    </w:pPr>
  </w:style>
  <w:style w:type="paragraph" w:customStyle="1" w:styleId="aNotess">
    <w:name w:val="aNotess"/>
    <w:basedOn w:val="BillBasic"/>
    <w:rsid w:val="00762BAD"/>
    <w:pPr>
      <w:ind w:left="1900" w:hanging="800"/>
    </w:pPr>
    <w:rPr>
      <w:sz w:val="20"/>
    </w:rPr>
  </w:style>
  <w:style w:type="paragraph" w:customStyle="1" w:styleId="aParaNoteBullet">
    <w:name w:val="aParaNoteBullet"/>
    <w:basedOn w:val="aParaNote"/>
    <w:rsid w:val="0040482C"/>
    <w:pPr>
      <w:tabs>
        <w:tab w:val="left" w:pos="2700"/>
      </w:tabs>
      <w:spacing w:before="60"/>
      <w:ind w:left="3100" w:hanging="700"/>
    </w:pPr>
  </w:style>
  <w:style w:type="paragraph" w:customStyle="1" w:styleId="aNotepar">
    <w:name w:val="aNotepar"/>
    <w:basedOn w:val="BillBasic"/>
    <w:next w:val="Normal"/>
    <w:rsid w:val="0040482C"/>
    <w:pPr>
      <w:ind w:left="2400" w:hanging="800"/>
    </w:pPr>
    <w:rPr>
      <w:sz w:val="20"/>
    </w:rPr>
  </w:style>
  <w:style w:type="paragraph" w:customStyle="1" w:styleId="aNoteTextpar">
    <w:name w:val="aNoteTextpar"/>
    <w:basedOn w:val="aNotepar"/>
    <w:rsid w:val="0040482C"/>
    <w:pPr>
      <w:spacing w:before="60"/>
      <w:ind w:firstLine="0"/>
    </w:pPr>
  </w:style>
  <w:style w:type="paragraph" w:customStyle="1" w:styleId="MinisterWord">
    <w:name w:val="MinisterWord"/>
    <w:basedOn w:val="Normal"/>
    <w:rsid w:val="0040482C"/>
    <w:pPr>
      <w:spacing w:before="60"/>
      <w:jc w:val="right"/>
    </w:pPr>
  </w:style>
  <w:style w:type="paragraph" w:customStyle="1" w:styleId="aExamPara">
    <w:name w:val="aExamPara"/>
    <w:basedOn w:val="aExam"/>
    <w:rsid w:val="0040482C"/>
    <w:pPr>
      <w:tabs>
        <w:tab w:val="right" w:pos="1720"/>
        <w:tab w:val="left" w:pos="2000"/>
        <w:tab w:val="left" w:pos="2300"/>
      </w:tabs>
      <w:ind w:left="2400" w:hanging="1300"/>
    </w:pPr>
  </w:style>
  <w:style w:type="paragraph" w:customStyle="1" w:styleId="aExamNumText">
    <w:name w:val="aExamNumText"/>
    <w:basedOn w:val="aExam"/>
    <w:rsid w:val="0040482C"/>
    <w:pPr>
      <w:ind w:left="1500"/>
    </w:pPr>
  </w:style>
  <w:style w:type="paragraph" w:customStyle="1" w:styleId="aExamBullet">
    <w:name w:val="aExamBullet"/>
    <w:basedOn w:val="aExam"/>
    <w:rsid w:val="0040482C"/>
    <w:pPr>
      <w:tabs>
        <w:tab w:val="left" w:pos="1500"/>
        <w:tab w:val="left" w:pos="2300"/>
      </w:tabs>
      <w:ind w:left="1900" w:hanging="800"/>
    </w:pPr>
  </w:style>
  <w:style w:type="paragraph" w:customStyle="1" w:styleId="aNotePara">
    <w:name w:val="aNotePara"/>
    <w:basedOn w:val="aNote"/>
    <w:rsid w:val="0040482C"/>
    <w:pPr>
      <w:tabs>
        <w:tab w:val="right" w:pos="2140"/>
        <w:tab w:val="left" w:pos="2400"/>
      </w:tabs>
      <w:spacing w:before="60"/>
      <w:ind w:left="2400" w:hanging="1300"/>
    </w:pPr>
  </w:style>
  <w:style w:type="paragraph" w:customStyle="1" w:styleId="aExplanHeading">
    <w:name w:val="aExplanHeading"/>
    <w:basedOn w:val="BillBasicHeading"/>
    <w:next w:val="Normal"/>
    <w:rsid w:val="0040482C"/>
    <w:rPr>
      <w:rFonts w:ascii="Arial (W1)" w:hAnsi="Arial (W1)"/>
      <w:sz w:val="18"/>
    </w:rPr>
  </w:style>
  <w:style w:type="paragraph" w:customStyle="1" w:styleId="aExplanText">
    <w:name w:val="aExplanText"/>
    <w:basedOn w:val="BillBasic"/>
    <w:rsid w:val="0040482C"/>
    <w:rPr>
      <w:sz w:val="20"/>
    </w:rPr>
  </w:style>
  <w:style w:type="paragraph" w:customStyle="1" w:styleId="aParaNotePara">
    <w:name w:val="aParaNotePara"/>
    <w:basedOn w:val="aNoteParaSymb"/>
    <w:rsid w:val="0040482C"/>
    <w:pPr>
      <w:tabs>
        <w:tab w:val="clear" w:pos="2140"/>
        <w:tab w:val="clear" w:pos="2400"/>
        <w:tab w:val="right" w:pos="2644"/>
      </w:tabs>
      <w:ind w:left="3320" w:hanging="1720"/>
    </w:pPr>
  </w:style>
  <w:style w:type="character" w:customStyle="1" w:styleId="charBold">
    <w:name w:val="charBold"/>
    <w:basedOn w:val="DefaultParagraphFont"/>
    <w:rsid w:val="0040482C"/>
    <w:rPr>
      <w:b/>
    </w:rPr>
  </w:style>
  <w:style w:type="character" w:customStyle="1" w:styleId="charBoldItals">
    <w:name w:val="charBoldItals"/>
    <w:basedOn w:val="DefaultParagraphFont"/>
    <w:rsid w:val="0040482C"/>
    <w:rPr>
      <w:b/>
      <w:i/>
    </w:rPr>
  </w:style>
  <w:style w:type="character" w:customStyle="1" w:styleId="charItals">
    <w:name w:val="charItals"/>
    <w:basedOn w:val="DefaultParagraphFont"/>
    <w:rsid w:val="0040482C"/>
    <w:rPr>
      <w:i/>
    </w:rPr>
  </w:style>
  <w:style w:type="character" w:customStyle="1" w:styleId="charUnderline">
    <w:name w:val="charUnderline"/>
    <w:basedOn w:val="DefaultParagraphFont"/>
    <w:rsid w:val="0040482C"/>
    <w:rPr>
      <w:u w:val="single"/>
    </w:rPr>
  </w:style>
  <w:style w:type="paragraph" w:customStyle="1" w:styleId="TableHd">
    <w:name w:val="TableHd"/>
    <w:basedOn w:val="Normal"/>
    <w:rsid w:val="0040482C"/>
    <w:pPr>
      <w:keepNext/>
      <w:spacing w:before="300"/>
      <w:ind w:left="1200" w:hanging="1200"/>
    </w:pPr>
    <w:rPr>
      <w:rFonts w:ascii="Arial" w:hAnsi="Arial"/>
      <w:b/>
      <w:sz w:val="20"/>
    </w:rPr>
  </w:style>
  <w:style w:type="paragraph" w:customStyle="1" w:styleId="TableColHd">
    <w:name w:val="TableColHd"/>
    <w:basedOn w:val="Normal"/>
    <w:rsid w:val="0040482C"/>
    <w:pPr>
      <w:keepNext/>
      <w:spacing w:after="60"/>
    </w:pPr>
    <w:rPr>
      <w:rFonts w:ascii="Arial" w:hAnsi="Arial"/>
      <w:b/>
      <w:sz w:val="18"/>
    </w:rPr>
  </w:style>
  <w:style w:type="paragraph" w:customStyle="1" w:styleId="PenaltyPara">
    <w:name w:val="PenaltyPara"/>
    <w:basedOn w:val="Normal"/>
    <w:rsid w:val="0040482C"/>
    <w:pPr>
      <w:tabs>
        <w:tab w:val="right" w:pos="1360"/>
      </w:tabs>
      <w:spacing w:before="60"/>
      <w:ind w:left="1600" w:hanging="1600"/>
      <w:jc w:val="both"/>
    </w:pPr>
  </w:style>
  <w:style w:type="paragraph" w:customStyle="1" w:styleId="tablepara">
    <w:name w:val="table para"/>
    <w:basedOn w:val="Normal"/>
    <w:rsid w:val="0040482C"/>
    <w:pPr>
      <w:tabs>
        <w:tab w:val="right" w:pos="800"/>
        <w:tab w:val="left" w:pos="1100"/>
      </w:tabs>
      <w:spacing w:before="80" w:after="60"/>
      <w:ind w:left="1100" w:hanging="1100"/>
    </w:pPr>
  </w:style>
  <w:style w:type="paragraph" w:customStyle="1" w:styleId="tablesubpara">
    <w:name w:val="table subpara"/>
    <w:basedOn w:val="Normal"/>
    <w:rsid w:val="0040482C"/>
    <w:pPr>
      <w:tabs>
        <w:tab w:val="right" w:pos="1500"/>
        <w:tab w:val="left" w:pos="1800"/>
      </w:tabs>
      <w:spacing w:before="80" w:after="60"/>
      <w:ind w:left="1800" w:hanging="1800"/>
    </w:pPr>
  </w:style>
  <w:style w:type="paragraph" w:customStyle="1" w:styleId="TableText">
    <w:name w:val="TableText"/>
    <w:basedOn w:val="Normal"/>
    <w:rsid w:val="0040482C"/>
    <w:pPr>
      <w:spacing w:before="60" w:after="60"/>
    </w:pPr>
  </w:style>
  <w:style w:type="paragraph" w:customStyle="1" w:styleId="IshadedH5Sec">
    <w:name w:val="I shaded H5 Sec"/>
    <w:basedOn w:val="AH5Sec"/>
    <w:rsid w:val="0040482C"/>
    <w:pPr>
      <w:shd w:val="pct25" w:color="auto" w:fill="auto"/>
      <w:outlineLvl w:val="9"/>
    </w:pPr>
  </w:style>
  <w:style w:type="paragraph" w:customStyle="1" w:styleId="IshadedSchClause">
    <w:name w:val="I shaded Sch Clause"/>
    <w:basedOn w:val="IshadedH5Sec"/>
    <w:rsid w:val="0040482C"/>
  </w:style>
  <w:style w:type="paragraph" w:customStyle="1" w:styleId="Penalty">
    <w:name w:val="Penalty"/>
    <w:basedOn w:val="Amainreturn"/>
    <w:rsid w:val="0040482C"/>
  </w:style>
  <w:style w:type="paragraph" w:customStyle="1" w:styleId="aNoteText">
    <w:name w:val="aNoteText"/>
    <w:basedOn w:val="aNoteSymb"/>
    <w:rsid w:val="0040482C"/>
    <w:pPr>
      <w:spacing w:before="60"/>
      <w:ind w:firstLine="0"/>
    </w:pPr>
  </w:style>
  <w:style w:type="paragraph" w:customStyle="1" w:styleId="aExamINum">
    <w:name w:val="aExamINum"/>
    <w:basedOn w:val="aExam"/>
    <w:rsid w:val="00762BAD"/>
    <w:pPr>
      <w:tabs>
        <w:tab w:val="left" w:pos="1500"/>
      </w:tabs>
      <w:ind w:left="1500" w:hanging="400"/>
    </w:pPr>
  </w:style>
  <w:style w:type="paragraph" w:customStyle="1" w:styleId="AExamIPara">
    <w:name w:val="AExamIPara"/>
    <w:basedOn w:val="aExam"/>
    <w:rsid w:val="0040482C"/>
    <w:pPr>
      <w:tabs>
        <w:tab w:val="right" w:pos="1720"/>
        <w:tab w:val="left" w:pos="2000"/>
      </w:tabs>
      <w:ind w:left="2000" w:hanging="900"/>
    </w:pPr>
  </w:style>
  <w:style w:type="paragraph" w:customStyle="1" w:styleId="AH3sec">
    <w:name w:val="A H3 sec"/>
    <w:basedOn w:val="Normal"/>
    <w:next w:val="Amain"/>
    <w:rsid w:val="00762BAD"/>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0482C"/>
    <w:pPr>
      <w:tabs>
        <w:tab w:val="clear" w:pos="2600"/>
      </w:tabs>
      <w:ind w:left="1100"/>
    </w:pPr>
    <w:rPr>
      <w:sz w:val="18"/>
    </w:rPr>
  </w:style>
  <w:style w:type="paragraph" w:customStyle="1" w:styleId="aExamss">
    <w:name w:val="aExamss"/>
    <w:basedOn w:val="aNoteSymb"/>
    <w:rsid w:val="0040482C"/>
    <w:pPr>
      <w:spacing w:before="60"/>
      <w:ind w:left="1100" w:firstLine="0"/>
    </w:pPr>
  </w:style>
  <w:style w:type="paragraph" w:customStyle="1" w:styleId="aExamHdgpar">
    <w:name w:val="aExamHdgpar"/>
    <w:basedOn w:val="aExamHdgss"/>
    <w:next w:val="Normal"/>
    <w:rsid w:val="0040482C"/>
    <w:pPr>
      <w:ind w:left="1600"/>
    </w:pPr>
  </w:style>
  <w:style w:type="paragraph" w:customStyle="1" w:styleId="aExampar">
    <w:name w:val="aExampar"/>
    <w:basedOn w:val="aExamss"/>
    <w:rsid w:val="0040482C"/>
    <w:pPr>
      <w:ind w:left="1600"/>
    </w:pPr>
  </w:style>
  <w:style w:type="paragraph" w:customStyle="1" w:styleId="aExamINumss">
    <w:name w:val="aExamINumss"/>
    <w:basedOn w:val="aExamss"/>
    <w:rsid w:val="0040482C"/>
    <w:pPr>
      <w:tabs>
        <w:tab w:val="left" w:pos="1500"/>
      </w:tabs>
      <w:ind w:left="1500" w:hanging="400"/>
    </w:pPr>
  </w:style>
  <w:style w:type="paragraph" w:customStyle="1" w:styleId="aExamINumpar">
    <w:name w:val="aExamINumpar"/>
    <w:basedOn w:val="aExampar"/>
    <w:rsid w:val="0040482C"/>
    <w:pPr>
      <w:tabs>
        <w:tab w:val="left" w:pos="2000"/>
      </w:tabs>
      <w:ind w:left="2000" w:hanging="400"/>
    </w:pPr>
  </w:style>
  <w:style w:type="paragraph" w:customStyle="1" w:styleId="aExamNumTextss">
    <w:name w:val="aExamNumTextss"/>
    <w:basedOn w:val="aExamss"/>
    <w:rsid w:val="0040482C"/>
    <w:pPr>
      <w:ind w:left="1500"/>
    </w:pPr>
  </w:style>
  <w:style w:type="paragraph" w:customStyle="1" w:styleId="aExamNumTextpar">
    <w:name w:val="aExamNumTextpar"/>
    <w:basedOn w:val="aExampar"/>
    <w:rsid w:val="00762BAD"/>
    <w:pPr>
      <w:ind w:left="2000"/>
    </w:pPr>
  </w:style>
  <w:style w:type="paragraph" w:customStyle="1" w:styleId="aExamBulletss">
    <w:name w:val="aExamBulletss"/>
    <w:basedOn w:val="aExamss"/>
    <w:rsid w:val="0040482C"/>
    <w:pPr>
      <w:ind w:left="1500" w:hanging="400"/>
    </w:pPr>
  </w:style>
  <w:style w:type="paragraph" w:customStyle="1" w:styleId="aExamBulletpar">
    <w:name w:val="aExamBulletpar"/>
    <w:basedOn w:val="aExampar"/>
    <w:rsid w:val="0040482C"/>
    <w:pPr>
      <w:ind w:left="2000" w:hanging="400"/>
    </w:pPr>
  </w:style>
  <w:style w:type="paragraph" w:customStyle="1" w:styleId="aExamHdgsubpar">
    <w:name w:val="aExamHdgsubpar"/>
    <w:basedOn w:val="aExamHdgss"/>
    <w:next w:val="Normal"/>
    <w:rsid w:val="0040482C"/>
    <w:pPr>
      <w:ind w:left="2140"/>
    </w:pPr>
  </w:style>
  <w:style w:type="paragraph" w:customStyle="1" w:styleId="aExamsubpar">
    <w:name w:val="aExamsubpar"/>
    <w:basedOn w:val="aExamss"/>
    <w:rsid w:val="0040482C"/>
    <w:pPr>
      <w:ind w:left="2140"/>
    </w:pPr>
  </w:style>
  <w:style w:type="paragraph" w:customStyle="1" w:styleId="aExamNumsubpar">
    <w:name w:val="aExamNumsubpar"/>
    <w:basedOn w:val="aExamsubpar"/>
    <w:rsid w:val="0040482C"/>
    <w:pPr>
      <w:tabs>
        <w:tab w:val="clear" w:pos="1100"/>
        <w:tab w:val="clear" w:pos="2381"/>
        <w:tab w:val="left" w:pos="2569"/>
      </w:tabs>
      <w:ind w:left="2569" w:hanging="403"/>
    </w:pPr>
  </w:style>
  <w:style w:type="paragraph" w:customStyle="1" w:styleId="aExamNumTextsubpar">
    <w:name w:val="aExamNumTextsubpar"/>
    <w:basedOn w:val="aExampar"/>
    <w:rsid w:val="00762BAD"/>
    <w:pPr>
      <w:ind w:left="2540"/>
    </w:pPr>
  </w:style>
  <w:style w:type="paragraph" w:customStyle="1" w:styleId="aExamBulletsubpar">
    <w:name w:val="aExamBulletsubpar"/>
    <w:basedOn w:val="aExamsubpar"/>
    <w:rsid w:val="0040482C"/>
    <w:pPr>
      <w:numPr>
        <w:numId w:val="33"/>
      </w:numPr>
      <w:tabs>
        <w:tab w:val="clear" w:pos="1100"/>
        <w:tab w:val="clear" w:pos="2381"/>
        <w:tab w:val="left" w:pos="2569"/>
      </w:tabs>
      <w:ind w:left="2569" w:hanging="403"/>
    </w:pPr>
  </w:style>
  <w:style w:type="paragraph" w:customStyle="1" w:styleId="aNoteTextss">
    <w:name w:val="aNoteTextss"/>
    <w:basedOn w:val="Normal"/>
    <w:rsid w:val="0040482C"/>
    <w:pPr>
      <w:spacing w:before="60"/>
      <w:ind w:left="1900"/>
      <w:jc w:val="both"/>
    </w:pPr>
    <w:rPr>
      <w:sz w:val="20"/>
    </w:rPr>
  </w:style>
  <w:style w:type="paragraph" w:customStyle="1" w:styleId="aNoteParass">
    <w:name w:val="aNoteParass"/>
    <w:basedOn w:val="Normal"/>
    <w:rsid w:val="0040482C"/>
    <w:pPr>
      <w:tabs>
        <w:tab w:val="right" w:pos="2140"/>
        <w:tab w:val="left" w:pos="2400"/>
      </w:tabs>
      <w:spacing w:before="60"/>
      <w:ind w:left="2400" w:hanging="1300"/>
      <w:jc w:val="both"/>
    </w:pPr>
    <w:rPr>
      <w:sz w:val="20"/>
    </w:rPr>
  </w:style>
  <w:style w:type="paragraph" w:customStyle="1" w:styleId="aNoteParapar">
    <w:name w:val="aNoteParapar"/>
    <w:basedOn w:val="aNotepar"/>
    <w:rsid w:val="0040482C"/>
    <w:pPr>
      <w:tabs>
        <w:tab w:val="right" w:pos="2640"/>
      </w:tabs>
      <w:spacing w:before="60"/>
      <w:ind w:left="2920" w:hanging="1320"/>
    </w:pPr>
  </w:style>
  <w:style w:type="paragraph" w:customStyle="1" w:styleId="aNotesubpar">
    <w:name w:val="aNotesubpar"/>
    <w:basedOn w:val="BillBasic"/>
    <w:next w:val="Normal"/>
    <w:rsid w:val="0040482C"/>
    <w:pPr>
      <w:ind w:left="2940" w:hanging="800"/>
    </w:pPr>
    <w:rPr>
      <w:sz w:val="20"/>
    </w:rPr>
  </w:style>
  <w:style w:type="paragraph" w:customStyle="1" w:styleId="aNoteTextsubpar">
    <w:name w:val="aNoteTextsubpar"/>
    <w:basedOn w:val="aNotesubpar"/>
    <w:rsid w:val="0040482C"/>
    <w:pPr>
      <w:spacing w:before="60"/>
      <w:ind w:firstLine="0"/>
    </w:pPr>
  </w:style>
  <w:style w:type="paragraph" w:customStyle="1" w:styleId="aNoteParasubpar">
    <w:name w:val="aNoteParasubpar"/>
    <w:basedOn w:val="aNotesubpar"/>
    <w:rsid w:val="00762BAD"/>
    <w:pPr>
      <w:tabs>
        <w:tab w:val="right" w:pos="3180"/>
      </w:tabs>
      <w:spacing w:before="60"/>
      <w:ind w:left="3460" w:hanging="1320"/>
    </w:pPr>
  </w:style>
  <w:style w:type="paragraph" w:customStyle="1" w:styleId="aNoteBulletsubpar">
    <w:name w:val="aNoteBulletsubpar"/>
    <w:basedOn w:val="aNotesubpar"/>
    <w:rsid w:val="0040482C"/>
    <w:pPr>
      <w:numPr>
        <w:numId w:val="11"/>
      </w:numPr>
      <w:tabs>
        <w:tab w:val="clear" w:pos="3300"/>
        <w:tab w:val="left" w:pos="3345"/>
      </w:tabs>
      <w:spacing w:before="60"/>
    </w:pPr>
  </w:style>
  <w:style w:type="paragraph" w:customStyle="1" w:styleId="aNoteBulletss">
    <w:name w:val="aNoteBulletss"/>
    <w:basedOn w:val="Normal"/>
    <w:rsid w:val="0040482C"/>
    <w:pPr>
      <w:spacing w:before="60"/>
      <w:ind w:left="2300" w:hanging="400"/>
      <w:jc w:val="both"/>
    </w:pPr>
    <w:rPr>
      <w:sz w:val="20"/>
    </w:rPr>
  </w:style>
  <w:style w:type="paragraph" w:customStyle="1" w:styleId="aNoteBulletpar">
    <w:name w:val="aNoteBulletpar"/>
    <w:basedOn w:val="aNotepar"/>
    <w:rsid w:val="0040482C"/>
    <w:pPr>
      <w:spacing w:before="60"/>
      <w:ind w:left="2800" w:hanging="400"/>
    </w:pPr>
  </w:style>
  <w:style w:type="paragraph" w:customStyle="1" w:styleId="aExplanBullet">
    <w:name w:val="aExplanBullet"/>
    <w:basedOn w:val="Normal"/>
    <w:rsid w:val="0040482C"/>
    <w:pPr>
      <w:spacing w:before="140"/>
      <w:ind w:left="400" w:hanging="400"/>
      <w:jc w:val="both"/>
    </w:pPr>
    <w:rPr>
      <w:snapToGrid w:val="0"/>
      <w:sz w:val="20"/>
    </w:rPr>
  </w:style>
  <w:style w:type="paragraph" w:customStyle="1" w:styleId="AuthLaw">
    <w:name w:val="AuthLaw"/>
    <w:basedOn w:val="BillBasic"/>
    <w:rsid w:val="00762BAD"/>
    <w:rPr>
      <w:rFonts w:ascii="Arial" w:hAnsi="Arial"/>
      <w:b/>
      <w:sz w:val="20"/>
    </w:rPr>
  </w:style>
  <w:style w:type="paragraph" w:customStyle="1" w:styleId="aExamNumpar">
    <w:name w:val="aExamNumpar"/>
    <w:basedOn w:val="aExamINumss"/>
    <w:rsid w:val="00762BAD"/>
    <w:pPr>
      <w:tabs>
        <w:tab w:val="clear" w:pos="1500"/>
        <w:tab w:val="left" w:pos="2000"/>
      </w:tabs>
      <w:ind w:left="2000"/>
    </w:pPr>
  </w:style>
  <w:style w:type="paragraph" w:customStyle="1" w:styleId="Schsectionheading">
    <w:name w:val="Sch section heading"/>
    <w:basedOn w:val="BillBasic"/>
    <w:next w:val="Amain"/>
    <w:rsid w:val="00762BAD"/>
    <w:pPr>
      <w:spacing w:before="240"/>
      <w:jc w:val="left"/>
      <w:outlineLvl w:val="4"/>
    </w:pPr>
    <w:rPr>
      <w:rFonts w:ascii="Arial" w:hAnsi="Arial"/>
      <w:b/>
    </w:rPr>
  </w:style>
  <w:style w:type="paragraph" w:customStyle="1" w:styleId="SchAmain">
    <w:name w:val="Sch A main"/>
    <w:basedOn w:val="Amain"/>
    <w:rsid w:val="0040482C"/>
  </w:style>
  <w:style w:type="paragraph" w:customStyle="1" w:styleId="SchApara">
    <w:name w:val="Sch A para"/>
    <w:basedOn w:val="Apara"/>
    <w:rsid w:val="0040482C"/>
  </w:style>
  <w:style w:type="paragraph" w:customStyle="1" w:styleId="SchAsubpara">
    <w:name w:val="Sch A subpara"/>
    <w:basedOn w:val="Asubpara"/>
    <w:rsid w:val="0040482C"/>
  </w:style>
  <w:style w:type="paragraph" w:customStyle="1" w:styleId="SchAsubsubpara">
    <w:name w:val="Sch A subsubpara"/>
    <w:basedOn w:val="Asubsubpara"/>
    <w:rsid w:val="0040482C"/>
  </w:style>
  <w:style w:type="paragraph" w:customStyle="1" w:styleId="TOCOL1">
    <w:name w:val="TOCOL 1"/>
    <w:basedOn w:val="TOC1"/>
    <w:rsid w:val="0040482C"/>
  </w:style>
  <w:style w:type="paragraph" w:customStyle="1" w:styleId="TOCOL2">
    <w:name w:val="TOCOL 2"/>
    <w:basedOn w:val="TOC2"/>
    <w:rsid w:val="0040482C"/>
    <w:pPr>
      <w:keepNext w:val="0"/>
    </w:pPr>
  </w:style>
  <w:style w:type="paragraph" w:customStyle="1" w:styleId="TOCOL3">
    <w:name w:val="TOCOL 3"/>
    <w:basedOn w:val="TOC3"/>
    <w:rsid w:val="0040482C"/>
    <w:pPr>
      <w:keepNext w:val="0"/>
    </w:pPr>
  </w:style>
  <w:style w:type="paragraph" w:customStyle="1" w:styleId="TOCOL4">
    <w:name w:val="TOCOL 4"/>
    <w:basedOn w:val="TOC4"/>
    <w:rsid w:val="0040482C"/>
    <w:pPr>
      <w:keepNext w:val="0"/>
    </w:pPr>
  </w:style>
  <w:style w:type="paragraph" w:customStyle="1" w:styleId="TOCOL5">
    <w:name w:val="TOCOL 5"/>
    <w:basedOn w:val="TOC5"/>
    <w:rsid w:val="0040482C"/>
    <w:pPr>
      <w:tabs>
        <w:tab w:val="left" w:pos="400"/>
      </w:tabs>
    </w:pPr>
  </w:style>
  <w:style w:type="paragraph" w:customStyle="1" w:styleId="TOCOL6">
    <w:name w:val="TOCOL 6"/>
    <w:basedOn w:val="TOC6"/>
    <w:rsid w:val="0040482C"/>
    <w:pPr>
      <w:keepNext w:val="0"/>
    </w:pPr>
  </w:style>
  <w:style w:type="paragraph" w:customStyle="1" w:styleId="TOCOL7">
    <w:name w:val="TOCOL 7"/>
    <w:basedOn w:val="TOC7"/>
    <w:rsid w:val="0040482C"/>
  </w:style>
  <w:style w:type="paragraph" w:customStyle="1" w:styleId="TOCOL8">
    <w:name w:val="TOCOL 8"/>
    <w:basedOn w:val="TOC8"/>
    <w:rsid w:val="0040482C"/>
  </w:style>
  <w:style w:type="paragraph" w:customStyle="1" w:styleId="TOCOL9">
    <w:name w:val="TOCOL 9"/>
    <w:basedOn w:val="TOC9"/>
    <w:rsid w:val="0040482C"/>
    <w:pPr>
      <w:ind w:right="0"/>
    </w:pPr>
  </w:style>
  <w:style w:type="paragraph" w:styleId="TOC9">
    <w:name w:val="toc 9"/>
    <w:basedOn w:val="Normal"/>
    <w:next w:val="Normal"/>
    <w:autoRedefine/>
    <w:rsid w:val="0040482C"/>
    <w:pPr>
      <w:ind w:left="1920" w:right="600"/>
    </w:pPr>
  </w:style>
  <w:style w:type="paragraph" w:customStyle="1" w:styleId="Billname1">
    <w:name w:val="Billname1"/>
    <w:basedOn w:val="Normal"/>
    <w:rsid w:val="0040482C"/>
    <w:pPr>
      <w:tabs>
        <w:tab w:val="left" w:pos="2400"/>
      </w:tabs>
      <w:spacing w:before="1220"/>
    </w:pPr>
    <w:rPr>
      <w:rFonts w:ascii="Arial" w:hAnsi="Arial"/>
      <w:b/>
      <w:sz w:val="40"/>
    </w:rPr>
  </w:style>
  <w:style w:type="paragraph" w:customStyle="1" w:styleId="TableText10">
    <w:name w:val="TableText10"/>
    <w:basedOn w:val="TableText"/>
    <w:rsid w:val="0040482C"/>
    <w:rPr>
      <w:sz w:val="20"/>
    </w:rPr>
  </w:style>
  <w:style w:type="paragraph" w:customStyle="1" w:styleId="TablePara10">
    <w:name w:val="TablePara10"/>
    <w:basedOn w:val="tablepara"/>
    <w:rsid w:val="004048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0482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0482C"/>
  </w:style>
  <w:style w:type="character" w:customStyle="1" w:styleId="charPage">
    <w:name w:val="charPage"/>
    <w:basedOn w:val="DefaultParagraphFont"/>
    <w:rsid w:val="0040482C"/>
  </w:style>
  <w:style w:type="character" w:styleId="PageNumber">
    <w:name w:val="page number"/>
    <w:basedOn w:val="DefaultParagraphFont"/>
    <w:rsid w:val="0040482C"/>
  </w:style>
  <w:style w:type="paragraph" w:customStyle="1" w:styleId="Letterhead">
    <w:name w:val="Letterhead"/>
    <w:rsid w:val="00762BAD"/>
    <w:pPr>
      <w:widowControl w:val="0"/>
      <w:spacing w:after="180"/>
      <w:jc w:val="right"/>
    </w:pPr>
    <w:rPr>
      <w:rFonts w:ascii="Arial" w:hAnsi="Arial"/>
      <w:sz w:val="32"/>
      <w:lang w:eastAsia="en-US"/>
    </w:rPr>
  </w:style>
  <w:style w:type="paragraph" w:customStyle="1" w:styleId="IShadedschclause0">
    <w:name w:val="I Shaded sch clause"/>
    <w:basedOn w:val="IH5Sec"/>
    <w:rsid w:val="00762BAD"/>
    <w:pPr>
      <w:shd w:val="pct15" w:color="auto" w:fill="FFFFFF"/>
      <w:tabs>
        <w:tab w:val="clear" w:pos="1100"/>
        <w:tab w:val="left" w:pos="700"/>
      </w:tabs>
      <w:ind w:left="700" w:hanging="700"/>
    </w:pPr>
  </w:style>
  <w:style w:type="paragraph" w:customStyle="1" w:styleId="Billfooter">
    <w:name w:val="Billfooter"/>
    <w:basedOn w:val="Normal"/>
    <w:rsid w:val="00762BAD"/>
    <w:pPr>
      <w:tabs>
        <w:tab w:val="right" w:pos="7200"/>
      </w:tabs>
      <w:jc w:val="both"/>
    </w:pPr>
    <w:rPr>
      <w:sz w:val="18"/>
    </w:rPr>
  </w:style>
  <w:style w:type="paragraph" w:styleId="BalloonText">
    <w:name w:val="Balloon Text"/>
    <w:basedOn w:val="Normal"/>
    <w:link w:val="BalloonTextChar"/>
    <w:uiPriority w:val="99"/>
    <w:unhideWhenUsed/>
    <w:rsid w:val="0040482C"/>
    <w:rPr>
      <w:rFonts w:ascii="Tahoma" w:hAnsi="Tahoma" w:cs="Tahoma"/>
      <w:sz w:val="16"/>
      <w:szCs w:val="16"/>
    </w:rPr>
  </w:style>
  <w:style w:type="character" w:customStyle="1" w:styleId="BalloonTextChar">
    <w:name w:val="Balloon Text Char"/>
    <w:basedOn w:val="DefaultParagraphFont"/>
    <w:link w:val="BalloonText"/>
    <w:uiPriority w:val="99"/>
    <w:rsid w:val="0040482C"/>
    <w:rPr>
      <w:rFonts w:ascii="Tahoma" w:hAnsi="Tahoma" w:cs="Tahoma"/>
      <w:sz w:val="16"/>
      <w:szCs w:val="16"/>
      <w:lang w:eastAsia="en-US"/>
    </w:rPr>
  </w:style>
  <w:style w:type="paragraph" w:customStyle="1" w:styleId="00AssAm">
    <w:name w:val="00AssAm"/>
    <w:basedOn w:val="00SigningPage"/>
    <w:rsid w:val="00762BAD"/>
  </w:style>
  <w:style w:type="character" w:customStyle="1" w:styleId="FooterChar">
    <w:name w:val="Footer Char"/>
    <w:basedOn w:val="DefaultParagraphFont"/>
    <w:link w:val="Footer"/>
    <w:rsid w:val="0040482C"/>
    <w:rPr>
      <w:rFonts w:ascii="Arial" w:hAnsi="Arial"/>
      <w:sz w:val="18"/>
      <w:lang w:eastAsia="en-US"/>
    </w:rPr>
  </w:style>
  <w:style w:type="character" w:customStyle="1" w:styleId="HeaderChar">
    <w:name w:val="Header Char"/>
    <w:basedOn w:val="DefaultParagraphFont"/>
    <w:link w:val="Header"/>
    <w:rsid w:val="00762BAD"/>
    <w:rPr>
      <w:sz w:val="24"/>
      <w:lang w:eastAsia="en-US"/>
    </w:rPr>
  </w:style>
  <w:style w:type="paragraph" w:customStyle="1" w:styleId="01aPreamble">
    <w:name w:val="01aPreamble"/>
    <w:basedOn w:val="Normal"/>
    <w:qFormat/>
    <w:rsid w:val="0040482C"/>
  </w:style>
  <w:style w:type="paragraph" w:customStyle="1" w:styleId="TableBullet">
    <w:name w:val="TableBullet"/>
    <w:basedOn w:val="TableText10"/>
    <w:qFormat/>
    <w:rsid w:val="0040482C"/>
    <w:pPr>
      <w:numPr>
        <w:numId w:val="25"/>
      </w:numPr>
    </w:pPr>
  </w:style>
  <w:style w:type="paragraph" w:customStyle="1" w:styleId="BillCrest">
    <w:name w:val="Bill Crest"/>
    <w:basedOn w:val="Normal"/>
    <w:next w:val="Normal"/>
    <w:rsid w:val="0040482C"/>
    <w:pPr>
      <w:tabs>
        <w:tab w:val="center" w:pos="3160"/>
      </w:tabs>
      <w:spacing w:after="60"/>
    </w:pPr>
    <w:rPr>
      <w:sz w:val="216"/>
    </w:rPr>
  </w:style>
  <w:style w:type="paragraph" w:customStyle="1" w:styleId="BillNo">
    <w:name w:val="BillNo"/>
    <w:basedOn w:val="BillBasicHeading"/>
    <w:rsid w:val="0040482C"/>
    <w:pPr>
      <w:keepNext w:val="0"/>
      <w:spacing w:before="240"/>
      <w:jc w:val="both"/>
    </w:pPr>
  </w:style>
  <w:style w:type="paragraph" w:customStyle="1" w:styleId="aNoteBulletann">
    <w:name w:val="aNoteBulletann"/>
    <w:basedOn w:val="aNotess"/>
    <w:rsid w:val="00762BAD"/>
    <w:pPr>
      <w:tabs>
        <w:tab w:val="left" w:pos="2200"/>
      </w:tabs>
      <w:spacing w:before="0"/>
      <w:ind w:left="0" w:firstLine="0"/>
    </w:pPr>
  </w:style>
  <w:style w:type="paragraph" w:customStyle="1" w:styleId="aNoteBulletparann">
    <w:name w:val="aNoteBulletparann"/>
    <w:basedOn w:val="aNotepar"/>
    <w:rsid w:val="00762BAD"/>
    <w:pPr>
      <w:tabs>
        <w:tab w:val="left" w:pos="2700"/>
      </w:tabs>
      <w:spacing w:before="0"/>
      <w:ind w:left="0" w:firstLine="0"/>
    </w:pPr>
  </w:style>
  <w:style w:type="paragraph" w:customStyle="1" w:styleId="TableNumbered">
    <w:name w:val="TableNumbered"/>
    <w:basedOn w:val="TableText10"/>
    <w:qFormat/>
    <w:rsid w:val="0040482C"/>
    <w:pPr>
      <w:numPr>
        <w:numId w:val="16"/>
      </w:numPr>
    </w:pPr>
  </w:style>
  <w:style w:type="paragraph" w:customStyle="1" w:styleId="ISchMain">
    <w:name w:val="I Sch Main"/>
    <w:basedOn w:val="BillBasic"/>
    <w:rsid w:val="0040482C"/>
    <w:pPr>
      <w:tabs>
        <w:tab w:val="right" w:pos="900"/>
        <w:tab w:val="left" w:pos="1100"/>
      </w:tabs>
      <w:ind w:left="1100" w:hanging="1100"/>
    </w:pPr>
  </w:style>
  <w:style w:type="paragraph" w:customStyle="1" w:styleId="ISchpara">
    <w:name w:val="I Sch para"/>
    <w:basedOn w:val="BillBasic"/>
    <w:rsid w:val="0040482C"/>
    <w:pPr>
      <w:tabs>
        <w:tab w:val="right" w:pos="1400"/>
        <w:tab w:val="left" w:pos="1600"/>
      </w:tabs>
      <w:ind w:left="1600" w:hanging="1600"/>
    </w:pPr>
  </w:style>
  <w:style w:type="paragraph" w:customStyle="1" w:styleId="ISchsubpara">
    <w:name w:val="I Sch subpara"/>
    <w:basedOn w:val="BillBasic"/>
    <w:rsid w:val="0040482C"/>
    <w:pPr>
      <w:tabs>
        <w:tab w:val="right" w:pos="1940"/>
        <w:tab w:val="left" w:pos="2140"/>
      </w:tabs>
      <w:ind w:left="2140" w:hanging="2140"/>
    </w:pPr>
  </w:style>
  <w:style w:type="paragraph" w:customStyle="1" w:styleId="ISchsubsubpara">
    <w:name w:val="I Sch subsubpara"/>
    <w:basedOn w:val="BillBasic"/>
    <w:rsid w:val="0040482C"/>
    <w:pPr>
      <w:tabs>
        <w:tab w:val="right" w:pos="2460"/>
        <w:tab w:val="left" w:pos="2660"/>
      </w:tabs>
      <w:ind w:left="2660" w:hanging="2660"/>
    </w:pPr>
  </w:style>
  <w:style w:type="character" w:customStyle="1" w:styleId="aNoteChar">
    <w:name w:val="aNote Char"/>
    <w:basedOn w:val="DefaultParagraphFont"/>
    <w:link w:val="aNote"/>
    <w:locked/>
    <w:rsid w:val="0040482C"/>
    <w:rPr>
      <w:lang w:eastAsia="en-US"/>
    </w:rPr>
  </w:style>
  <w:style w:type="character" w:customStyle="1" w:styleId="charCitHyperlinkAbbrev">
    <w:name w:val="charCitHyperlinkAbbrev"/>
    <w:basedOn w:val="Hyperlink"/>
    <w:uiPriority w:val="1"/>
    <w:rsid w:val="0040482C"/>
    <w:rPr>
      <w:color w:val="0000FF" w:themeColor="hyperlink"/>
      <w:u w:val="none"/>
    </w:rPr>
  </w:style>
  <w:style w:type="character" w:styleId="Hyperlink">
    <w:name w:val="Hyperlink"/>
    <w:basedOn w:val="DefaultParagraphFont"/>
    <w:uiPriority w:val="99"/>
    <w:unhideWhenUsed/>
    <w:rsid w:val="0040482C"/>
    <w:rPr>
      <w:color w:val="0000FF" w:themeColor="hyperlink"/>
      <w:u w:val="single"/>
    </w:rPr>
  </w:style>
  <w:style w:type="character" w:customStyle="1" w:styleId="charCitHyperlinkItal">
    <w:name w:val="charCitHyperlinkItal"/>
    <w:basedOn w:val="Hyperlink"/>
    <w:uiPriority w:val="1"/>
    <w:rsid w:val="0040482C"/>
    <w:rPr>
      <w:i/>
      <w:color w:val="0000FF" w:themeColor="hyperlink"/>
      <w:u w:val="none"/>
    </w:rPr>
  </w:style>
  <w:style w:type="character" w:customStyle="1" w:styleId="AH5SecChar">
    <w:name w:val="A H5 Sec Char"/>
    <w:basedOn w:val="DefaultParagraphFont"/>
    <w:link w:val="AH5Sec"/>
    <w:locked/>
    <w:rsid w:val="00762BAD"/>
    <w:rPr>
      <w:rFonts w:ascii="Arial" w:hAnsi="Arial"/>
      <w:b/>
      <w:sz w:val="24"/>
      <w:lang w:eastAsia="en-US"/>
    </w:rPr>
  </w:style>
  <w:style w:type="character" w:customStyle="1" w:styleId="BillBasicChar">
    <w:name w:val="BillBasic Char"/>
    <w:basedOn w:val="DefaultParagraphFont"/>
    <w:link w:val="BillBasic"/>
    <w:locked/>
    <w:rsid w:val="00762BAD"/>
    <w:rPr>
      <w:sz w:val="24"/>
      <w:lang w:eastAsia="en-US"/>
    </w:rPr>
  </w:style>
  <w:style w:type="paragraph" w:customStyle="1" w:styleId="Status">
    <w:name w:val="Status"/>
    <w:basedOn w:val="Normal"/>
    <w:rsid w:val="0040482C"/>
    <w:pPr>
      <w:spacing w:before="280"/>
      <w:jc w:val="center"/>
    </w:pPr>
    <w:rPr>
      <w:rFonts w:ascii="Arial" w:hAnsi="Arial"/>
      <w:sz w:val="14"/>
    </w:rPr>
  </w:style>
  <w:style w:type="paragraph" w:customStyle="1" w:styleId="FooterInfoCentre">
    <w:name w:val="FooterInfoCentre"/>
    <w:basedOn w:val="FooterInfo"/>
    <w:rsid w:val="0040482C"/>
    <w:pPr>
      <w:spacing w:before="60"/>
      <w:jc w:val="center"/>
    </w:pPr>
  </w:style>
  <w:style w:type="character" w:customStyle="1" w:styleId="aDefChar">
    <w:name w:val="aDef Char"/>
    <w:basedOn w:val="DefaultParagraphFont"/>
    <w:link w:val="aDef"/>
    <w:locked/>
    <w:rsid w:val="00A835F4"/>
    <w:rPr>
      <w:sz w:val="24"/>
      <w:lang w:eastAsia="en-US"/>
    </w:rPr>
  </w:style>
  <w:style w:type="character" w:customStyle="1" w:styleId="AmainChar">
    <w:name w:val="A main Char"/>
    <w:basedOn w:val="DefaultParagraphFont"/>
    <w:link w:val="Amain"/>
    <w:locked/>
    <w:rsid w:val="007438C8"/>
    <w:rPr>
      <w:sz w:val="24"/>
      <w:lang w:eastAsia="en-US"/>
    </w:rPr>
  </w:style>
  <w:style w:type="character" w:styleId="PlaceholderText">
    <w:name w:val="Placeholder Text"/>
    <w:basedOn w:val="DefaultParagraphFont"/>
    <w:uiPriority w:val="99"/>
    <w:semiHidden/>
    <w:rsid w:val="0040482C"/>
    <w:rPr>
      <w:color w:val="808080"/>
    </w:rPr>
  </w:style>
  <w:style w:type="character" w:styleId="UnresolvedMention">
    <w:name w:val="Unresolved Mention"/>
    <w:basedOn w:val="DefaultParagraphFont"/>
    <w:uiPriority w:val="99"/>
    <w:semiHidden/>
    <w:unhideWhenUsed/>
    <w:rsid w:val="001B5459"/>
    <w:rPr>
      <w:color w:val="605E5C"/>
      <w:shd w:val="clear" w:color="auto" w:fill="E1DFDD"/>
    </w:rPr>
  </w:style>
  <w:style w:type="paragraph" w:customStyle="1" w:styleId="00Spine">
    <w:name w:val="00Spine"/>
    <w:basedOn w:val="Normal"/>
    <w:rsid w:val="0040482C"/>
  </w:style>
  <w:style w:type="paragraph" w:customStyle="1" w:styleId="05Endnote0">
    <w:name w:val="05Endnote"/>
    <w:basedOn w:val="Normal"/>
    <w:rsid w:val="0040482C"/>
  </w:style>
  <w:style w:type="paragraph" w:customStyle="1" w:styleId="06Copyright">
    <w:name w:val="06Copyright"/>
    <w:basedOn w:val="Normal"/>
    <w:rsid w:val="0040482C"/>
  </w:style>
  <w:style w:type="paragraph" w:customStyle="1" w:styleId="RepubNo">
    <w:name w:val="RepubNo"/>
    <w:basedOn w:val="BillBasicHeading"/>
    <w:rsid w:val="0040482C"/>
    <w:pPr>
      <w:keepNext w:val="0"/>
      <w:spacing w:before="600"/>
      <w:jc w:val="both"/>
    </w:pPr>
    <w:rPr>
      <w:sz w:val="26"/>
    </w:rPr>
  </w:style>
  <w:style w:type="paragraph" w:customStyle="1" w:styleId="EffectiveDate">
    <w:name w:val="EffectiveDate"/>
    <w:basedOn w:val="Normal"/>
    <w:rsid w:val="0040482C"/>
    <w:pPr>
      <w:spacing w:before="120"/>
    </w:pPr>
    <w:rPr>
      <w:rFonts w:ascii="Arial" w:hAnsi="Arial"/>
      <w:b/>
      <w:sz w:val="26"/>
    </w:rPr>
  </w:style>
  <w:style w:type="paragraph" w:customStyle="1" w:styleId="CoverInForce">
    <w:name w:val="CoverInForce"/>
    <w:basedOn w:val="BillBasicHeading"/>
    <w:rsid w:val="0040482C"/>
    <w:pPr>
      <w:keepNext w:val="0"/>
      <w:spacing w:before="400"/>
    </w:pPr>
    <w:rPr>
      <w:b w:val="0"/>
    </w:rPr>
  </w:style>
  <w:style w:type="paragraph" w:customStyle="1" w:styleId="CoverHeading">
    <w:name w:val="CoverHeading"/>
    <w:basedOn w:val="Normal"/>
    <w:rsid w:val="0040482C"/>
    <w:rPr>
      <w:rFonts w:ascii="Arial" w:hAnsi="Arial"/>
      <w:b/>
    </w:rPr>
  </w:style>
  <w:style w:type="paragraph" w:customStyle="1" w:styleId="CoverSubHdg">
    <w:name w:val="CoverSubHdg"/>
    <w:basedOn w:val="CoverHeading"/>
    <w:rsid w:val="0040482C"/>
    <w:pPr>
      <w:spacing w:before="120"/>
    </w:pPr>
    <w:rPr>
      <w:sz w:val="20"/>
    </w:rPr>
  </w:style>
  <w:style w:type="paragraph" w:customStyle="1" w:styleId="CoverActName">
    <w:name w:val="CoverActName"/>
    <w:basedOn w:val="BillBasicHeading"/>
    <w:rsid w:val="0040482C"/>
    <w:pPr>
      <w:keepNext w:val="0"/>
      <w:spacing w:before="260"/>
    </w:pPr>
  </w:style>
  <w:style w:type="paragraph" w:customStyle="1" w:styleId="CoverText">
    <w:name w:val="CoverText"/>
    <w:basedOn w:val="Normal"/>
    <w:uiPriority w:val="99"/>
    <w:rsid w:val="0040482C"/>
    <w:pPr>
      <w:spacing w:before="100"/>
      <w:jc w:val="both"/>
    </w:pPr>
    <w:rPr>
      <w:sz w:val="20"/>
    </w:rPr>
  </w:style>
  <w:style w:type="paragraph" w:customStyle="1" w:styleId="CoverTextPara">
    <w:name w:val="CoverTextPara"/>
    <w:basedOn w:val="CoverText"/>
    <w:rsid w:val="0040482C"/>
    <w:pPr>
      <w:tabs>
        <w:tab w:val="right" w:pos="600"/>
        <w:tab w:val="left" w:pos="840"/>
      </w:tabs>
      <w:ind w:left="840" w:hanging="840"/>
    </w:pPr>
  </w:style>
  <w:style w:type="paragraph" w:customStyle="1" w:styleId="AH1ChapterSymb">
    <w:name w:val="A H1 Chapter Symb"/>
    <w:basedOn w:val="AH1Chapter"/>
    <w:next w:val="AH2Part"/>
    <w:rsid w:val="0040482C"/>
    <w:pPr>
      <w:tabs>
        <w:tab w:val="clear" w:pos="2600"/>
        <w:tab w:val="left" w:pos="0"/>
      </w:tabs>
      <w:ind w:left="2480" w:hanging="2960"/>
    </w:pPr>
  </w:style>
  <w:style w:type="paragraph" w:customStyle="1" w:styleId="AH2PartSymb">
    <w:name w:val="A H2 Part Symb"/>
    <w:basedOn w:val="AH2Part"/>
    <w:next w:val="AH3Div"/>
    <w:rsid w:val="0040482C"/>
    <w:pPr>
      <w:tabs>
        <w:tab w:val="clear" w:pos="2600"/>
        <w:tab w:val="left" w:pos="0"/>
      </w:tabs>
      <w:ind w:left="2480" w:hanging="2960"/>
    </w:pPr>
  </w:style>
  <w:style w:type="paragraph" w:customStyle="1" w:styleId="AH3DivSymb">
    <w:name w:val="A H3 Div Symb"/>
    <w:basedOn w:val="AH3Div"/>
    <w:next w:val="AH5Sec"/>
    <w:rsid w:val="0040482C"/>
    <w:pPr>
      <w:tabs>
        <w:tab w:val="clear" w:pos="2600"/>
        <w:tab w:val="left" w:pos="0"/>
      </w:tabs>
      <w:ind w:left="2480" w:hanging="2960"/>
    </w:pPr>
  </w:style>
  <w:style w:type="paragraph" w:customStyle="1" w:styleId="AH4SubDivSymb">
    <w:name w:val="A H4 SubDiv Symb"/>
    <w:basedOn w:val="AH4SubDiv"/>
    <w:next w:val="AH5Sec"/>
    <w:rsid w:val="0040482C"/>
    <w:pPr>
      <w:tabs>
        <w:tab w:val="clear" w:pos="2600"/>
        <w:tab w:val="left" w:pos="0"/>
      </w:tabs>
      <w:ind w:left="2480" w:hanging="2960"/>
    </w:pPr>
  </w:style>
  <w:style w:type="paragraph" w:customStyle="1" w:styleId="AH5SecSymb">
    <w:name w:val="A H5 Sec Symb"/>
    <w:basedOn w:val="AH5Sec"/>
    <w:next w:val="Amain"/>
    <w:rsid w:val="0040482C"/>
    <w:pPr>
      <w:tabs>
        <w:tab w:val="clear" w:pos="1100"/>
        <w:tab w:val="left" w:pos="0"/>
      </w:tabs>
      <w:ind w:hanging="1580"/>
    </w:pPr>
  </w:style>
  <w:style w:type="paragraph" w:customStyle="1" w:styleId="AmainSymb">
    <w:name w:val="A main Symb"/>
    <w:basedOn w:val="Amain"/>
    <w:rsid w:val="0040482C"/>
    <w:pPr>
      <w:tabs>
        <w:tab w:val="left" w:pos="0"/>
      </w:tabs>
      <w:ind w:left="1120" w:hanging="1600"/>
    </w:pPr>
  </w:style>
  <w:style w:type="paragraph" w:customStyle="1" w:styleId="AparaSymb">
    <w:name w:val="A para Symb"/>
    <w:basedOn w:val="Apara"/>
    <w:rsid w:val="0040482C"/>
    <w:pPr>
      <w:tabs>
        <w:tab w:val="right" w:pos="0"/>
      </w:tabs>
      <w:ind w:hanging="2080"/>
    </w:pPr>
  </w:style>
  <w:style w:type="paragraph" w:customStyle="1" w:styleId="Assectheading">
    <w:name w:val="A ssect heading"/>
    <w:basedOn w:val="Amain"/>
    <w:rsid w:val="0040482C"/>
    <w:pPr>
      <w:keepNext/>
      <w:tabs>
        <w:tab w:val="clear" w:pos="900"/>
        <w:tab w:val="clear" w:pos="1100"/>
      </w:tabs>
      <w:spacing w:before="300"/>
      <w:ind w:left="0" w:firstLine="0"/>
      <w:outlineLvl w:val="9"/>
    </w:pPr>
    <w:rPr>
      <w:i/>
    </w:rPr>
  </w:style>
  <w:style w:type="paragraph" w:customStyle="1" w:styleId="AsubparaSymb">
    <w:name w:val="A subpara Symb"/>
    <w:basedOn w:val="Asubpara"/>
    <w:rsid w:val="0040482C"/>
    <w:pPr>
      <w:tabs>
        <w:tab w:val="left" w:pos="0"/>
      </w:tabs>
      <w:ind w:left="2098" w:hanging="2580"/>
    </w:pPr>
  </w:style>
  <w:style w:type="paragraph" w:customStyle="1" w:styleId="Actdetails">
    <w:name w:val="Act details"/>
    <w:basedOn w:val="Normal"/>
    <w:rsid w:val="0040482C"/>
    <w:pPr>
      <w:spacing w:before="20"/>
      <w:ind w:left="1400"/>
    </w:pPr>
    <w:rPr>
      <w:rFonts w:ascii="Arial" w:hAnsi="Arial"/>
      <w:sz w:val="20"/>
    </w:rPr>
  </w:style>
  <w:style w:type="paragraph" w:customStyle="1" w:styleId="AmdtsEntriesDefL2">
    <w:name w:val="AmdtsEntriesDefL2"/>
    <w:basedOn w:val="Normal"/>
    <w:rsid w:val="0040482C"/>
    <w:pPr>
      <w:tabs>
        <w:tab w:val="left" w:pos="3000"/>
      </w:tabs>
      <w:ind w:left="3100" w:hanging="2000"/>
    </w:pPr>
    <w:rPr>
      <w:rFonts w:ascii="Arial" w:hAnsi="Arial"/>
      <w:sz w:val="18"/>
    </w:rPr>
  </w:style>
  <w:style w:type="paragraph" w:customStyle="1" w:styleId="AmdtsEntries">
    <w:name w:val="AmdtsEntries"/>
    <w:basedOn w:val="BillBasicHeading"/>
    <w:rsid w:val="0040482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0482C"/>
    <w:pPr>
      <w:tabs>
        <w:tab w:val="clear" w:pos="2600"/>
      </w:tabs>
      <w:spacing w:before="120"/>
      <w:ind w:left="1100"/>
    </w:pPr>
    <w:rPr>
      <w:sz w:val="18"/>
    </w:rPr>
  </w:style>
  <w:style w:type="paragraph" w:customStyle="1" w:styleId="Asamby">
    <w:name w:val="As am by"/>
    <w:basedOn w:val="Normal"/>
    <w:next w:val="Normal"/>
    <w:rsid w:val="0040482C"/>
    <w:pPr>
      <w:spacing w:before="240"/>
      <w:ind w:left="1100"/>
    </w:pPr>
    <w:rPr>
      <w:rFonts w:ascii="Arial" w:hAnsi="Arial"/>
      <w:sz w:val="20"/>
    </w:rPr>
  </w:style>
  <w:style w:type="character" w:customStyle="1" w:styleId="charSymb">
    <w:name w:val="charSymb"/>
    <w:basedOn w:val="DefaultParagraphFont"/>
    <w:rsid w:val="0040482C"/>
    <w:rPr>
      <w:rFonts w:ascii="Arial" w:hAnsi="Arial"/>
      <w:sz w:val="24"/>
      <w:bdr w:val="single" w:sz="4" w:space="0" w:color="auto"/>
    </w:rPr>
  </w:style>
  <w:style w:type="character" w:customStyle="1" w:styleId="charTableNo">
    <w:name w:val="charTableNo"/>
    <w:basedOn w:val="DefaultParagraphFont"/>
    <w:rsid w:val="0040482C"/>
  </w:style>
  <w:style w:type="character" w:customStyle="1" w:styleId="charTableText">
    <w:name w:val="charTableText"/>
    <w:basedOn w:val="DefaultParagraphFont"/>
    <w:rsid w:val="0040482C"/>
  </w:style>
  <w:style w:type="paragraph" w:customStyle="1" w:styleId="Dict-HeadingSymb">
    <w:name w:val="Dict-Heading Symb"/>
    <w:basedOn w:val="Dict-Heading"/>
    <w:rsid w:val="0040482C"/>
    <w:pPr>
      <w:tabs>
        <w:tab w:val="left" w:pos="0"/>
      </w:tabs>
      <w:ind w:left="2480" w:hanging="2960"/>
    </w:pPr>
  </w:style>
  <w:style w:type="paragraph" w:customStyle="1" w:styleId="EarlierRepubEntries">
    <w:name w:val="EarlierRepubEntries"/>
    <w:basedOn w:val="Normal"/>
    <w:rsid w:val="0040482C"/>
    <w:pPr>
      <w:spacing w:before="60" w:after="60"/>
    </w:pPr>
    <w:rPr>
      <w:rFonts w:ascii="Arial" w:hAnsi="Arial"/>
      <w:sz w:val="18"/>
    </w:rPr>
  </w:style>
  <w:style w:type="paragraph" w:customStyle="1" w:styleId="EarlierRepubHdg">
    <w:name w:val="EarlierRepubHdg"/>
    <w:basedOn w:val="Normal"/>
    <w:rsid w:val="0040482C"/>
    <w:pPr>
      <w:keepNext/>
    </w:pPr>
    <w:rPr>
      <w:rFonts w:ascii="Arial" w:hAnsi="Arial"/>
      <w:b/>
      <w:sz w:val="20"/>
    </w:rPr>
  </w:style>
  <w:style w:type="paragraph" w:customStyle="1" w:styleId="Endnote20">
    <w:name w:val="Endnote2"/>
    <w:basedOn w:val="Normal"/>
    <w:rsid w:val="0040482C"/>
    <w:pPr>
      <w:keepNext/>
      <w:tabs>
        <w:tab w:val="left" w:pos="1100"/>
      </w:tabs>
      <w:spacing w:before="360"/>
    </w:pPr>
    <w:rPr>
      <w:rFonts w:ascii="Arial" w:hAnsi="Arial"/>
      <w:b/>
    </w:rPr>
  </w:style>
  <w:style w:type="paragraph" w:customStyle="1" w:styleId="Endnote3">
    <w:name w:val="Endnote3"/>
    <w:basedOn w:val="Normal"/>
    <w:rsid w:val="0040482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0482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0482C"/>
    <w:pPr>
      <w:spacing w:before="60"/>
      <w:ind w:left="1100"/>
      <w:jc w:val="both"/>
    </w:pPr>
    <w:rPr>
      <w:sz w:val="20"/>
    </w:rPr>
  </w:style>
  <w:style w:type="paragraph" w:customStyle="1" w:styleId="EndNoteParas">
    <w:name w:val="EndNoteParas"/>
    <w:basedOn w:val="EndNoteTextEPS"/>
    <w:rsid w:val="0040482C"/>
    <w:pPr>
      <w:tabs>
        <w:tab w:val="right" w:pos="1432"/>
      </w:tabs>
      <w:ind w:left="1840" w:hanging="1840"/>
    </w:pPr>
  </w:style>
  <w:style w:type="paragraph" w:customStyle="1" w:styleId="EndnotesAbbrev">
    <w:name w:val="EndnotesAbbrev"/>
    <w:basedOn w:val="Normal"/>
    <w:rsid w:val="0040482C"/>
    <w:pPr>
      <w:spacing w:before="20"/>
    </w:pPr>
    <w:rPr>
      <w:rFonts w:ascii="Arial" w:hAnsi="Arial"/>
      <w:color w:val="000000"/>
      <w:sz w:val="16"/>
    </w:rPr>
  </w:style>
  <w:style w:type="paragraph" w:customStyle="1" w:styleId="EPSCoverTop">
    <w:name w:val="EPSCoverTop"/>
    <w:basedOn w:val="Normal"/>
    <w:rsid w:val="0040482C"/>
    <w:pPr>
      <w:jc w:val="right"/>
    </w:pPr>
    <w:rPr>
      <w:rFonts w:ascii="Arial" w:hAnsi="Arial"/>
      <w:sz w:val="20"/>
    </w:rPr>
  </w:style>
  <w:style w:type="paragraph" w:customStyle="1" w:styleId="LegHistNote">
    <w:name w:val="LegHistNote"/>
    <w:basedOn w:val="Actdetails"/>
    <w:rsid w:val="0040482C"/>
    <w:pPr>
      <w:spacing w:before="60"/>
      <w:ind w:left="2700" w:right="-60" w:hanging="1300"/>
    </w:pPr>
    <w:rPr>
      <w:sz w:val="18"/>
    </w:rPr>
  </w:style>
  <w:style w:type="paragraph" w:customStyle="1" w:styleId="LongTitleSymb">
    <w:name w:val="LongTitleSymb"/>
    <w:basedOn w:val="LongTitle"/>
    <w:rsid w:val="0040482C"/>
    <w:pPr>
      <w:ind w:hanging="480"/>
    </w:pPr>
  </w:style>
  <w:style w:type="paragraph" w:styleId="MacroText">
    <w:name w:val="macro"/>
    <w:link w:val="MacroTextChar"/>
    <w:semiHidden/>
    <w:rsid w:val="004048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0482C"/>
    <w:rPr>
      <w:rFonts w:ascii="Courier New" w:hAnsi="Courier New" w:cs="Courier New"/>
      <w:lang w:eastAsia="en-US"/>
    </w:rPr>
  </w:style>
  <w:style w:type="paragraph" w:customStyle="1" w:styleId="NewAct">
    <w:name w:val="New Act"/>
    <w:basedOn w:val="Normal"/>
    <w:next w:val="Actdetails"/>
    <w:rsid w:val="0040482C"/>
    <w:pPr>
      <w:keepNext/>
      <w:spacing w:before="180"/>
      <w:ind w:left="1100"/>
    </w:pPr>
    <w:rPr>
      <w:rFonts w:ascii="Arial" w:hAnsi="Arial"/>
      <w:b/>
      <w:sz w:val="20"/>
    </w:rPr>
  </w:style>
  <w:style w:type="paragraph" w:customStyle="1" w:styleId="NewReg">
    <w:name w:val="New Reg"/>
    <w:basedOn w:val="NewAct"/>
    <w:next w:val="Actdetails"/>
    <w:rsid w:val="0040482C"/>
  </w:style>
  <w:style w:type="paragraph" w:customStyle="1" w:styleId="RenumProvEntries">
    <w:name w:val="RenumProvEntries"/>
    <w:basedOn w:val="Normal"/>
    <w:rsid w:val="0040482C"/>
    <w:pPr>
      <w:spacing w:before="60"/>
    </w:pPr>
    <w:rPr>
      <w:rFonts w:ascii="Arial" w:hAnsi="Arial"/>
      <w:sz w:val="20"/>
    </w:rPr>
  </w:style>
  <w:style w:type="paragraph" w:customStyle="1" w:styleId="RenumProvHdg">
    <w:name w:val="RenumProvHdg"/>
    <w:basedOn w:val="Normal"/>
    <w:rsid w:val="0040482C"/>
    <w:rPr>
      <w:rFonts w:ascii="Arial" w:hAnsi="Arial"/>
      <w:b/>
      <w:sz w:val="22"/>
    </w:rPr>
  </w:style>
  <w:style w:type="paragraph" w:customStyle="1" w:styleId="RenumProvHeader">
    <w:name w:val="RenumProvHeader"/>
    <w:basedOn w:val="Normal"/>
    <w:rsid w:val="0040482C"/>
    <w:rPr>
      <w:rFonts w:ascii="Arial" w:hAnsi="Arial"/>
      <w:b/>
      <w:sz w:val="22"/>
    </w:rPr>
  </w:style>
  <w:style w:type="paragraph" w:customStyle="1" w:styleId="RenumProvSubsectEntries">
    <w:name w:val="RenumProvSubsectEntries"/>
    <w:basedOn w:val="RenumProvEntries"/>
    <w:rsid w:val="0040482C"/>
    <w:pPr>
      <w:ind w:left="252"/>
    </w:pPr>
  </w:style>
  <w:style w:type="paragraph" w:customStyle="1" w:styleId="RenumTableHdg">
    <w:name w:val="RenumTableHdg"/>
    <w:basedOn w:val="Normal"/>
    <w:rsid w:val="0040482C"/>
    <w:pPr>
      <w:spacing w:before="120"/>
    </w:pPr>
    <w:rPr>
      <w:rFonts w:ascii="Arial" w:hAnsi="Arial"/>
      <w:b/>
      <w:sz w:val="20"/>
    </w:rPr>
  </w:style>
  <w:style w:type="paragraph" w:customStyle="1" w:styleId="SchclauseheadingSymb">
    <w:name w:val="Sch clause heading Symb"/>
    <w:basedOn w:val="Schclauseheading"/>
    <w:rsid w:val="0040482C"/>
    <w:pPr>
      <w:tabs>
        <w:tab w:val="left" w:pos="0"/>
      </w:tabs>
      <w:ind w:left="980" w:hanging="1460"/>
    </w:pPr>
  </w:style>
  <w:style w:type="paragraph" w:customStyle="1" w:styleId="SchSubClause">
    <w:name w:val="Sch SubClause"/>
    <w:basedOn w:val="Schclauseheading"/>
    <w:rsid w:val="0040482C"/>
    <w:rPr>
      <w:b w:val="0"/>
    </w:rPr>
  </w:style>
  <w:style w:type="paragraph" w:customStyle="1" w:styleId="Sched-FormSymb">
    <w:name w:val="Sched-Form Symb"/>
    <w:basedOn w:val="Sched-Form"/>
    <w:rsid w:val="0040482C"/>
    <w:pPr>
      <w:tabs>
        <w:tab w:val="left" w:pos="0"/>
      </w:tabs>
      <w:ind w:left="2480" w:hanging="2960"/>
    </w:pPr>
  </w:style>
  <w:style w:type="paragraph" w:customStyle="1" w:styleId="Sched-headingSymb">
    <w:name w:val="Sched-heading Symb"/>
    <w:basedOn w:val="Sched-heading"/>
    <w:rsid w:val="0040482C"/>
    <w:pPr>
      <w:tabs>
        <w:tab w:val="left" w:pos="0"/>
      </w:tabs>
      <w:ind w:left="2480" w:hanging="2960"/>
    </w:pPr>
  </w:style>
  <w:style w:type="paragraph" w:customStyle="1" w:styleId="Sched-PartSymb">
    <w:name w:val="Sched-Part Symb"/>
    <w:basedOn w:val="Sched-Part"/>
    <w:rsid w:val="0040482C"/>
    <w:pPr>
      <w:tabs>
        <w:tab w:val="left" w:pos="0"/>
      </w:tabs>
      <w:ind w:left="2480" w:hanging="2960"/>
    </w:pPr>
  </w:style>
  <w:style w:type="paragraph" w:styleId="Subtitle">
    <w:name w:val="Subtitle"/>
    <w:basedOn w:val="Normal"/>
    <w:link w:val="SubtitleChar"/>
    <w:qFormat/>
    <w:rsid w:val="0040482C"/>
    <w:pPr>
      <w:spacing w:after="60"/>
      <w:jc w:val="center"/>
      <w:outlineLvl w:val="1"/>
    </w:pPr>
    <w:rPr>
      <w:rFonts w:ascii="Arial" w:hAnsi="Arial"/>
    </w:rPr>
  </w:style>
  <w:style w:type="character" w:customStyle="1" w:styleId="SubtitleChar">
    <w:name w:val="Subtitle Char"/>
    <w:basedOn w:val="DefaultParagraphFont"/>
    <w:link w:val="Subtitle"/>
    <w:rsid w:val="0040482C"/>
    <w:rPr>
      <w:rFonts w:ascii="Arial" w:hAnsi="Arial"/>
      <w:sz w:val="24"/>
      <w:lang w:eastAsia="en-US"/>
    </w:rPr>
  </w:style>
  <w:style w:type="paragraph" w:customStyle="1" w:styleId="TLegEntries">
    <w:name w:val="TLegEntries"/>
    <w:basedOn w:val="Normal"/>
    <w:rsid w:val="0040482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0482C"/>
    <w:pPr>
      <w:ind w:firstLine="0"/>
    </w:pPr>
    <w:rPr>
      <w:b/>
    </w:rPr>
  </w:style>
  <w:style w:type="paragraph" w:customStyle="1" w:styleId="EndNoteTextPub">
    <w:name w:val="EndNoteTextPub"/>
    <w:basedOn w:val="Normal"/>
    <w:rsid w:val="0040482C"/>
    <w:pPr>
      <w:spacing w:before="60"/>
      <w:ind w:left="1100"/>
      <w:jc w:val="both"/>
    </w:pPr>
    <w:rPr>
      <w:sz w:val="20"/>
    </w:rPr>
  </w:style>
  <w:style w:type="paragraph" w:customStyle="1" w:styleId="TOC10">
    <w:name w:val="TOC 10"/>
    <w:basedOn w:val="TOC5"/>
    <w:rsid w:val="0040482C"/>
    <w:rPr>
      <w:szCs w:val="24"/>
    </w:rPr>
  </w:style>
  <w:style w:type="character" w:customStyle="1" w:styleId="charNotBold">
    <w:name w:val="charNotBold"/>
    <w:basedOn w:val="DefaultParagraphFont"/>
    <w:rsid w:val="0040482C"/>
    <w:rPr>
      <w:rFonts w:ascii="Arial" w:hAnsi="Arial"/>
      <w:sz w:val="20"/>
    </w:rPr>
  </w:style>
  <w:style w:type="paragraph" w:customStyle="1" w:styleId="ShadedSchClauseSymb">
    <w:name w:val="Shaded Sch Clause Symb"/>
    <w:basedOn w:val="ShadedSchClause"/>
    <w:rsid w:val="0040482C"/>
    <w:pPr>
      <w:tabs>
        <w:tab w:val="left" w:pos="0"/>
      </w:tabs>
      <w:ind w:left="975" w:hanging="1457"/>
    </w:pPr>
  </w:style>
  <w:style w:type="paragraph" w:customStyle="1" w:styleId="CoverTextBullet">
    <w:name w:val="CoverTextBullet"/>
    <w:basedOn w:val="CoverText"/>
    <w:qFormat/>
    <w:rsid w:val="0040482C"/>
    <w:pPr>
      <w:numPr>
        <w:numId w:val="34"/>
      </w:numPr>
    </w:pPr>
    <w:rPr>
      <w:color w:val="000000"/>
    </w:rPr>
  </w:style>
  <w:style w:type="character" w:customStyle="1" w:styleId="Heading3Char">
    <w:name w:val="Heading 3 Char"/>
    <w:aliases w:val="h3 Char,sec Char"/>
    <w:basedOn w:val="DefaultParagraphFont"/>
    <w:link w:val="Heading3"/>
    <w:rsid w:val="0040482C"/>
    <w:rPr>
      <w:b/>
      <w:sz w:val="24"/>
      <w:lang w:eastAsia="en-US"/>
    </w:rPr>
  </w:style>
  <w:style w:type="paragraph" w:customStyle="1" w:styleId="Sched-Form-18Space">
    <w:name w:val="Sched-Form-18Space"/>
    <w:basedOn w:val="Normal"/>
    <w:rsid w:val="0040482C"/>
    <w:pPr>
      <w:spacing w:before="360" w:after="60"/>
    </w:pPr>
    <w:rPr>
      <w:sz w:val="22"/>
    </w:rPr>
  </w:style>
  <w:style w:type="paragraph" w:customStyle="1" w:styleId="FormRule">
    <w:name w:val="FormRule"/>
    <w:basedOn w:val="Normal"/>
    <w:rsid w:val="0040482C"/>
    <w:pPr>
      <w:pBdr>
        <w:top w:val="single" w:sz="4" w:space="1" w:color="auto"/>
      </w:pBdr>
      <w:spacing w:before="160" w:after="40"/>
      <w:ind w:left="3220" w:right="3260"/>
    </w:pPr>
    <w:rPr>
      <w:sz w:val="8"/>
    </w:rPr>
  </w:style>
  <w:style w:type="paragraph" w:customStyle="1" w:styleId="OldAmdtsEntries">
    <w:name w:val="OldAmdtsEntries"/>
    <w:basedOn w:val="BillBasicHeading"/>
    <w:rsid w:val="0040482C"/>
    <w:pPr>
      <w:tabs>
        <w:tab w:val="clear" w:pos="2600"/>
        <w:tab w:val="left" w:leader="dot" w:pos="2700"/>
      </w:tabs>
      <w:ind w:left="2700" w:hanging="2000"/>
    </w:pPr>
    <w:rPr>
      <w:sz w:val="18"/>
    </w:rPr>
  </w:style>
  <w:style w:type="paragraph" w:customStyle="1" w:styleId="OldAmdt2ndLine">
    <w:name w:val="OldAmdt2ndLine"/>
    <w:basedOn w:val="OldAmdtsEntries"/>
    <w:rsid w:val="0040482C"/>
    <w:pPr>
      <w:tabs>
        <w:tab w:val="left" w:pos="2700"/>
      </w:tabs>
      <w:spacing w:before="0"/>
    </w:pPr>
  </w:style>
  <w:style w:type="paragraph" w:customStyle="1" w:styleId="parainpara">
    <w:name w:val="para in para"/>
    <w:rsid w:val="0040482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0482C"/>
    <w:pPr>
      <w:spacing w:after="60"/>
      <w:ind w:left="2800"/>
    </w:pPr>
    <w:rPr>
      <w:rFonts w:ascii="ACTCrest" w:hAnsi="ACTCrest"/>
      <w:sz w:val="216"/>
    </w:rPr>
  </w:style>
  <w:style w:type="paragraph" w:customStyle="1" w:styleId="Actbullet">
    <w:name w:val="Act bullet"/>
    <w:basedOn w:val="Normal"/>
    <w:uiPriority w:val="99"/>
    <w:rsid w:val="0040482C"/>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40482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0482C"/>
    <w:rPr>
      <w:b w:val="0"/>
      <w:sz w:val="32"/>
    </w:rPr>
  </w:style>
  <w:style w:type="paragraph" w:customStyle="1" w:styleId="MH1Chapter">
    <w:name w:val="M H1 Chapter"/>
    <w:basedOn w:val="AH1Chapter"/>
    <w:rsid w:val="0040482C"/>
    <w:pPr>
      <w:tabs>
        <w:tab w:val="clear" w:pos="2600"/>
        <w:tab w:val="left" w:pos="2720"/>
      </w:tabs>
      <w:ind w:left="4000" w:hanging="3300"/>
    </w:pPr>
  </w:style>
  <w:style w:type="paragraph" w:customStyle="1" w:styleId="ModH1Chapter">
    <w:name w:val="Mod H1 Chapter"/>
    <w:basedOn w:val="IH1ChapSymb"/>
    <w:rsid w:val="0040482C"/>
    <w:pPr>
      <w:tabs>
        <w:tab w:val="clear" w:pos="2600"/>
        <w:tab w:val="left" w:pos="3300"/>
      </w:tabs>
      <w:ind w:left="3300"/>
    </w:pPr>
  </w:style>
  <w:style w:type="paragraph" w:customStyle="1" w:styleId="ModH2Part">
    <w:name w:val="Mod H2 Part"/>
    <w:basedOn w:val="IH2PartSymb"/>
    <w:rsid w:val="0040482C"/>
    <w:pPr>
      <w:tabs>
        <w:tab w:val="clear" w:pos="2600"/>
        <w:tab w:val="left" w:pos="3300"/>
      </w:tabs>
      <w:ind w:left="3300"/>
    </w:pPr>
  </w:style>
  <w:style w:type="paragraph" w:customStyle="1" w:styleId="ModH3Div">
    <w:name w:val="Mod H3 Div"/>
    <w:basedOn w:val="IH3DivSymb"/>
    <w:rsid w:val="0040482C"/>
    <w:pPr>
      <w:tabs>
        <w:tab w:val="clear" w:pos="2600"/>
        <w:tab w:val="left" w:pos="3300"/>
      </w:tabs>
      <w:ind w:left="3300"/>
    </w:pPr>
  </w:style>
  <w:style w:type="paragraph" w:customStyle="1" w:styleId="ModH4SubDiv">
    <w:name w:val="Mod H4 SubDiv"/>
    <w:basedOn w:val="IH4SubDivSymb"/>
    <w:rsid w:val="0040482C"/>
    <w:pPr>
      <w:tabs>
        <w:tab w:val="clear" w:pos="2600"/>
        <w:tab w:val="left" w:pos="3300"/>
      </w:tabs>
      <w:ind w:left="3300"/>
    </w:pPr>
  </w:style>
  <w:style w:type="paragraph" w:customStyle="1" w:styleId="ModH5Sec">
    <w:name w:val="Mod H5 Sec"/>
    <w:basedOn w:val="IH5SecSymb"/>
    <w:rsid w:val="0040482C"/>
    <w:pPr>
      <w:tabs>
        <w:tab w:val="clear" w:pos="1100"/>
        <w:tab w:val="left" w:pos="1800"/>
      </w:tabs>
      <w:ind w:left="2200"/>
    </w:pPr>
  </w:style>
  <w:style w:type="paragraph" w:customStyle="1" w:styleId="Modmain">
    <w:name w:val="Mod main"/>
    <w:basedOn w:val="Amain"/>
    <w:rsid w:val="0040482C"/>
    <w:pPr>
      <w:tabs>
        <w:tab w:val="clear" w:pos="900"/>
        <w:tab w:val="clear" w:pos="1100"/>
        <w:tab w:val="right" w:pos="1600"/>
        <w:tab w:val="left" w:pos="1800"/>
      </w:tabs>
      <w:ind w:left="2200"/>
    </w:pPr>
  </w:style>
  <w:style w:type="paragraph" w:customStyle="1" w:styleId="Modpara">
    <w:name w:val="Mod para"/>
    <w:basedOn w:val="BillBasic"/>
    <w:rsid w:val="0040482C"/>
    <w:pPr>
      <w:tabs>
        <w:tab w:val="right" w:pos="2100"/>
        <w:tab w:val="left" w:pos="2300"/>
      </w:tabs>
      <w:ind w:left="2700" w:hanging="1600"/>
      <w:outlineLvl w:val="6"/>
    </w:pPr>
  </w:style>
  <w:style w:type="paragraph" w:customStyle="1" w:styleId="Modsubpara">
    <w:name w:val="Mod subpara"/>
    <w:basedOn w:val="Asubpara"/>
    <w:rsid w:val="0040482C"/>
    <w:pPr>
      <w:tabs>
        <w:tab w:val="clear" w:pos="1900"/>
        <w:tab w:val="clear" w:pos="2100"/>
        <w:tab w:val="right" w:pos="2640"/>
        <w:tab w:val="left" w:pos="2840"/>
      </w:tabs>
      <w:ind w:left="3240" w:hanging="2140"/>
    </w:pPr>
  </w:style>
  <w:style w:type="paragraph" w:customStyle="1" w:styleId="Modsubsubpara">
    <w:name w:val="Mod subsubpara"/>
    <w:basedOn w:val="AsubsubparaSymb"/>
    <w:rsid w:val="004048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40482C"/>
    <w:pPr>
      <w:ind w:left="1800"/>
    </w:pPr>
  </w:style>
  <w:style w:type="paragraph" w:customStyle="1" w:styleId="Modparareturn">
    <w:name w:val="Mod para return"/>
    <w:basedOn w:val="AparareturnSymb"/>
    <w:rsid w:val="0040482C"/>
    <w:pPr>
      <w:ind w:left="2300"/>
    </w:pPr>
  </w:style>
  <w:style w:type="paragraph" w:customStyle="1" w:styleId="Modsubparareturn">
    <w:name w:val="Mod subpara return"/>
    <w:basedOn w:val="AsubparareturnSymb"/>
    <w:rsid w:val="0040482C"/>
    <w:pPr>
      <w:ind w:left="3040"/>
    </w:pPr>
  </w:style>
  <w:style w:type="paragraph" w:customStyle="1" w:styleId="Modref">
    <w:name w:val="Mod ref"/>
    <w:basedOn w:val="refSymb"/>
    <w:rsid w:val="0040482C"/>
    <w:pPr>
      <w:ind w:left="1100"/>
    </w:pPr>
  </w:style>
  <w:style w:type="paragraph" w:customStyle="1" w:styleId="ModaNote">
    <w:name w:val="Mod aNote"/>
    <w:basedOn w:val="aNoteSymb"/>
    <w:rsid w:val="0040482C"/>
    <w:pPr>
      <w:tabs>
        <w:tab w:val="left" w:pos="2600"/>
      </w:tabs>
      <w:ind w:left="2600"/>
    </w:pPr>
  </w:style>
  <w:style w:type="paragraph" w:customStyle="1" w:styleId="ModNote">
    <w:name w:val="Mod Note"/>
    <w:basedOn w:val="aNoteSymb"/>
    <w:rsid w:val="0040482C"/>
    <w:pPr>
      <w:tabs>
        <w:tab w:val="left" w:pos="2600"/>
      </w:tabs>
      <w:ind w:left="2600"/>
    </w:pPr>
  </w:style>
  <w:style w:type="paragraph" w:customStyle="1" w:styleId="ApprFormHd">
    <w:name w:val="ApprFormHd"/>
    <w:basedOn w:val="Sched-heading"/>
    <w:rsid w:val="0040482C"/>
    <w:pPr>
      <w:ind w:left="0" w:firstLine="0"/>
    </w:pPr>
  </w:style>
  <w:style w:type="paragraph" w:customStyle="1" w:styleId="AmdtEntries">
    <w:name w:val="AmdtEntries"/>
    <w:basedOn w:val="BillBasicHeading"/>
    <w:rsid w:val="0040482C"/>
    <w:pPr>
      <w:keepNext w:val="0"/>
      <w:tabs>
        <w:tab w:val="clear" w:pos="2600"/>
      </w:tabs>
      <w:spacing w:before="0"/>
      <w:ind w:left="3200" w:hanging="2100"/>
    </w:pPr>
    <w:rPr>
      <w:sz w:val="18"/>
    </w:rPr>
  </w:style>
  <w:style w:type="paragraph" w:customStyle="1" w:styleId="AmdtEntriesDefL2">
    <w:name w:val="AmdtEntriesDefL2"/>
    <w:basedOn w:val="AmdtEntries"/>
    <w:rsid w:val="0040482C"/>
    <w:pPr>
      <w:tabs>
        <w:tab w:val="left" w:pos="3000"/>
      </w:tabs>
      <w:ind w:left="3600" w:hanging="2500"/>
    </w:pPr>
  </w:style>
  <w:style w:type="paragraph" w:customStyle="1" w:styleId="Actdetailsnote">
    <w:name w:val="Act details note"/>
    <w:basedOn w:val="Actdetails"/>
    <w:uiPriority w:val="99"/>
    <w:rsid w:val="0040482C"/>
    <w:pPr>
      <w:ind w:left="1620" w:right="-60" w:hanging="720"/>
    </w:pPr>
    <w:rPr>
      <w:sz w:val="18"/>
    </w:rPr>
  </w:style>
  <w:style w:type="paragraph" w:customStyle="1" w:styleId="DetailsNo">
    <w:name w:val="Details No"/>
    <w:basedOn w:val="Actdetails"/>
    <w:uiPriority w:val="99"/>
    <w:rsid w:val="0040482C"/>
    <w:pPr>
      <w:ind w:left="0"/>
    </w:pPr>
    <w:rPr>
      <w:sz w:val="18"/>
    </w:rPr>
  </w:style>
  <w:style w:type="paragraph" w:customStyle="1" w:styleId="AssectheadingSymb">
    <w:name w:val="A ssect heading Symb"/>
    <w:basedOn w:val="Amain"/>
    <w:rsid w:val="004048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0482C"/>
    <w:pPr>
      <w:tabs>
        <w:tab w:val="left" w:pos="0"/>
        <w:tab w:val="right" w:pos="2400"/>
        <w:tab w:val="left" w:pos="2600"/>
      </w:tabs>
      <w:ind w:left="2602" w:hanging="3084"/>
      <w:outlineLvl w:val="8"/>
    </w:pPr>
  </w:style>
  <w:style w:type="paragraph" w:customStyle="1" w:styleId="AmainreturnSymb">
    <w:name w:val="A main return Symb"/>
    <w:basedOn w:val="BillBasic"/>
    <w:rsid w:val="0040482C"/>
    <w:pPr>
      <w:tabs>
        <w:tab w:val="left" w:pos="1582"/>
      </w:tabs>
      <w:ind w:left="1100" w:hanging="1582"/>
    </w:pPr>
  </w:style>
  <w:style w:type="paragraph" w:customStyle="1" w:styleId="AparareturnSymb">
    <w:name w:val="A para return Symb"/>
    <w:basedOn w:val="BillBasic"/>
    <w:rsid w:val="0040482C"/>
    <w:pPr>
      <w:tabs>
        <w:tab w:val="left" w:pos="2081"/>
      </w:tabs>
      <w:ind w:left="1599" w:hanging="2081"/>
    </w:pPr>
  </w:style>
  <w:style w:type="paragraph" w:customStyle="1" w:styleId="AsubparareturnSymb">
    <w:name w:val="A subpara return Symb"/>
    <w:basedOn w:val="BillBasic"/>
    <w:rsid w:val="0040482C"/>
    <w:pPr>
      <w:tabs>
        <w:tab w:val="left" w:pos="2580"/>
      </w:tabs>
      <w:ind w:left="2098" w:hanging="2580"/>
    </w:pPr>
  </w:style>
  <w:style w:type="paragraph" w:customStyle="1" w:styleId="aDefSymb">
    <w:name w:val="aDef Symb"/>
    <w:basedOn w:val="BillBasic"/>
    <w:rsid w:val="0040482C"/>
    <w:pPr>
      <w:tabs>
        <w:tab w:val="left" w:pos="1582"/>
      </w:tabs>
      <w:ind w:left="1100" w:hanging="1582"/>
    </w:pPr>
  </w:style>
  <w:style w:type="paragraph" w:customStyle="1" w:styleId="aDefparaSymb">
    <w:name w:val="aDef para Symb"/>
    <w:basedOn w:val="Apara"/>
    <w:rsid w:val="0040482C"/>
    <w:pPr>
      <w:tabs>
        <w:tab w:val="clear" w:pos="1600"/>
        <w:tab w:val="left" w:pos="0"/>
        <w:tab w:val="left" w:pos="1599"/>
      </w:tabs>
      <w:ind w:left="1599" w:hanging="2081"/>
    </w:pPr>
  </w:style>
  <w:style w:type="paragraph" w:customStyle="1" w:styleId="aDefsubparaSymb">
    <w:name w:val="aDef subpara Symb"/>
    <w:basedOn w:val="Asubpara"/>
    <w:rsid w:val="0040482C"/>
    <w:pPr>
      <w:tabs>
        <w:tab w:val="left" w:pos="0"/>
      </w:tabs>
      <w:ind w:left="2098" w:hanging="2580"/>
    </w:pPr>
  </w:style>
  <w:style w:type="paragraph" w:customStyle="1" w:styleId="SchAmainSymb">
    <w:name w:val="Sch A main Symb"/>
    <w:basedOn w:val="Amain"/>
    <w:rsid w:val="0040482C"/>
    <w:pPr>
      <w:tabs>
        <w:tab w:val="left" w:pos="0"/>
      </w:tabs>
      <w:ind w:hanging="1580"/>
    </w:pPr>
  </w:style>
  <w:style w:type="paragraph" w:customStyle="1" w:styleId="SchAparaSymb">
    <w:name w:val="Sch A para Symb"/>
    <w:basedOn w:val="Apara"/>
    <w:rsid w:val="0040482C"/>
    <w:pPr>
      <w:tabs>
        <w:tab w:val="left" w:pos="0"/>
      </w:tabs>
      <w:ind w:hanging="2080"/>
    </w:pPr>
  </w:style>
  <w:style w:type="paragraph" w:customStyle="1" w:styleId="SchAsubparaSymb">
    <w:name w:val="Sch A subpara Symb"/>
    <w:basedOn w:val="Asubpara"/>
    <w:rsid w:val="0040482C"/>
    <w:pPr>
      <w:tabs>
        <w:tab w:val="left" w:pos="0"/>
      </w:tabs>
      <w:ind w:hanging="2580"/>
    </w:pPr>
  </w:style>
  <w:style w:type="paragraph" w:customStyle="1" w:styleId="SchAsubsubparaSymb">
    <w:name w:val="Sch A subsubpara Symb"/>
    <w:basedOn w:val="AsubsubparaSymb"/>
    <w:rsid w:val="0040482C"/>
  </w:style>
  <w:style w:type="paragraph" w:customStyle="1" w:styleId="refSymb">
    <w:name w:val="ref Symb"/>
    <w:basedOn w:val="BillBasic"/>
    <w:next w:val="Normal"/>
    <w:rsid w:val="0040482C"/>
    <w:pPr>
      <w:tabs>
        <w:tab w:val="left" w:pos="-480"/>
      </w:tabs>
      <w:spacing w:before="60"/>
      <w:ind w:hanging="480"/>
    </w:pPr>
    <w:rPr>
      <w:sz w:val="18"/>
    </w:rPr>
  </w:style>
  <w:style w:type="paragraph" w:customStyle="1" w:styleId="IshadedH5SecSymb">
    <w:name w:val="I shaded H5 Sec Symb"/>
    <w:basedOn w:val="AH5Sec"/>
    <w:rsid w:val="004048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0482C"/>
    <w:pPr>
      <w:tabs>
        <w:tab w:val="clear" w:pos="-1580"/>
      </w:tabs>
      <w:ind w:left="975" w:hanging="1457"/>
    </w:pPr>
  </w:style>
  <w:style w:type="paragraph" w:customStyle="1" w:styleId="IH1ChapSymb">
    <w:name w:val="I H1 Chap Symb"/>
    <w:basedOn w:val="BillBasicHeading"/>
    <w:next w:val="Normal"/>
    <w:rsid w:val="004048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048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048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048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0482C"/>
    <w:pPr>
      <w:tabs>
        <w:tab w:val="clear" w:pos="2600"/>
        <w:tab w:val="left" w:pos="-1580"/>
        <w:tab w:val="left" w:pos="0"/>
        <w:tab w:val="left" w:pos="1100"/>
      </w:tabs>
      <w:spacing w:before="240"/>
      <w:ind w:left="1100" w:hanging="1580"/>
    </w:pPr>
  </w:style>
  <w:style w:type="paragraph" w:customStyle="1" w:styleId="IMainSymb">
    <w:name w:val="I Main Symb"/>
    <w:basedOn w:val="Amain"/>
    <w:rsid w:val="0040482C"/>
    <w:pPr>
      <w:tabs>
        <w:tab w:val="left" w:pos="0"/>
      </w:tabs>
      <w:ind w:hanging="1580"/>
    </w:pPr>
  </w:style>
  <w:style w:type="paragraph" w:customStyle="1" w:styleId="IparaSymb">
    <w:name w:val="I para Symb"/>
    <w:basedOn w:val="Apara"/>
    <w:rsid w:val="0040482C"/>
    <w:pPr>
      <w:tabs>
        <w:tab w:val="left" w:pos="0"/>
      </w:tabs>
      <w:ind w:hanging="2080"/>
      <w:outlineLvl w:val="9"/>
    </w:pPr>
  </w:style>
  <w:style w:type="paragraph" w:customStyle="1" w:styleId="IsubparaSymb">
    <w:name w:val="I subpara Symb"/>
    <w:basedOn w:val="Asubpara"/>
    <w:rsid w:val="004048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0482C"/>
    <w:pPr>
      <w:tabs>
        <w:tab w:val="clear" w:pos="2400"/>
        <w:tab w:val="clear" w:pos="2600"/>
        <w:tab w:val="right" w:pos="2460"/>
        <w:tab w:val="left" w:pos="2660"/>
      </w:tabs>
      <w:ind w:left="2660" w:hanging="3140"/>
    </w:pPr>
  </w:style>
  <w:style w:type="paragraph" w:customStyle="1" w:styleId="IdefparaSymb">
    <w:name w:val="I def para Symb"/>
    <w:basedOn w:val="IparaSymb"/>
    <w:rsid w:val="0040482C"/>
    <w:pPr>
      <w:ind w:left="1599" w:hanging="2081"/>
    </w:pPr>
  </w:style>
  <w:style w:type="paragraph" w:customStyle="1" w:styleId="IdefsubparaSymb">
    <w:name w:val="I def subpara Symb"/>
    <w:basedOn w:val="IsubparaSymb"/>
    <w:rsid w:val="0040482C"/>
    <w:pPr>
      <w:ind w:left="2138"/>
    </w:pPr>
  </w:style>
  <w:style w:type="paragraph" w:customStyle="1" w:styleId="ISched-headingSymb">
    <w:name w:val="I Sched-heading Symb"/>
    <w:basedOn w:val="BillBasicHeading"/>
    <w:next w:val="Normal"/>
    <w:rsid w:val="0040482C"/>
    <w:pPr>
      <w:tabs>
        <w:tab w:val="left" w:pos="-3080"/>
        <w:tab w:val="left" w:pos="0"/>
      </w:tabs>
      <w:spacing w:before="320"/>
      <w:ind w:left="2600" w:hanging="3080"/>
    </w:pPr>
    <w:rPr>
      <w:sz w:val="34"/>
    </w:rPr>
  </w:style>
  <w:style w:type="paragraph" w:customStyle="1" w:styleId="ISched-PartSymb">
    <w:name w:val="I Sched-Part Symb"/>
    <w:basedOn w:val="BillBasicHeading"/>
    <w:rsid w:val="0040482C"/>
    <w:pPr>
      <w:tabs>
        <w:tab w:val="left" w:pos="-3080"/>
        <w:tab w:val="left" w:pos="0"/>
      </w:tabs>
      <w:spacing w:before="380"/>
      <w:ind w:left="2600" w:hanging="3080"/>
    </w:pPr>
    <w:rPr>
      <w:sz w:val="32"/>
    </w:rPr>
  </w:style>
  <w:style w:type="paragraph" w:customStyle="1" w:styleId="ISched-formSymb">
    <w:name w:val="I Sched-form Symb"/>
    <w:basedOn w:val="BillBasicHeading"/>
    <w:rsid w:val="0040482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048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0482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0482C"/>
    <w:pPr>
      <w:tabs>
        <w:tab w:val="left" w:pos="1100"/>
      </w:tabs>
      <w:spacing w:before="60"/>
      <w:ind w:left="1500" w:hanging="1986"/>
    </w:pPr>
  </w:style>
  <w:style w:type="paragraph" w:customStyle="1" w:styleId="aExamHdgssSymb">
    <w:name w:val="aExamHdgss Symb"/>
    <w:basedOn w:val="BillBasicHeading"/>
    <w:next w:val="Normal"/>
    <w:rsid w:val="0040482C"/>
    <w:pPr>
      <w:tabs>
        <w:tab w:val="clear" w:pos="2600"/>
        <w:tab w:val="left" w:pos="1582"/>
      </w:tabs>
      <w:ind w:left="1100" w:hanging="1582"/>
    </w:pPr>
    <w:rPr>
      <w:sz w:val="18"/>
    </w:rPr>
  </w:style>
  <w:style w:type="paragraph" w:customStyle="1" w:styleId="aExamssSymb">
    <w:name w:val="aExamss Symb"/>
    <w:basedOn w:val="aNote"/>
    <w:rsid w:val="0040482C"/>
    <w:pPr>
      <w:tabs>
        <w:tab w:val="left" w:pos="1582"/>
      </w:tabs>
      <w:spacing w:before="60"/>
      <w:ind w:left="1100" w:hanging="1582"/>
    </w:pPr>
  </w:style>
  <w:style w:type="paragraph" w:customStyle="1" w:styleId="aExamINumssSymb">
    <w:name w:val="aExamINumss Symb"/>
    <w:basedOn w:val="aExamssSymb"/>
    <w:rsid w:val="0040482C"/>
    <w:pPr>
      <w:tabs>
        <w:tab w:val="left" w:pos="1100"/>
      </w:tabs>
      <w:ind w:left="1500" w:hanging="1986"/>
    </w:pPr>
  </w:style>
  <w:style w:type="paragraph" w:customStyle="1" w:styleId="aExamNumTextssSymb">
    <w:name w:val="aExamNumTextss Symb"/>
    <w:basedOn w:val="aExamssSymb"/>
    <w:rsid w:val="0040482C"/>
    <w:pPr>
      <w:tabs>
        <w:tab w:val="clear" w:pos="1582"/>
        <w:tab w:val="left" w:pos="1985"/>
      </w:tabs>
      <w:ind w:left="1503" w:hanging="1985"/>
    </w:pPr>
  </w:style>
  <w:style w:type="paragraph" w:customStyle="1" w:styleId="AExamIParaSymb">
    <w:name w:val="AExamIPara Symb"/>
    <w:basedOn w:val="aExam"/>
    <w:rsid w:val="0040482C"/>
    <w:pPr>
      <w:tabs>
        <w:tab w:val="right" w:pos="1718"/>
      </w:tabs>
      <w:ind w:left="1984" w:hanging="2466"/>
    </w:pPr>
  </w:style>
  <w:style w:type="paragraph" w:customStyle="1" w:styleId="aExamBulletssSymb">
    <w:name w:val="aExamBulletss Symb"/>
    <w:basedOn w:val="aExamssSymb"/>
    <w:rsid w:val="0040482C"/>
    <w:pPr>
      <w:tabs>
        <w:tab w:val="left" w:pos="1100"/>
      </w:tabs>
      <w:ind w:left="1500" w:hanging="1986"/>
    </w:pPr>
  </w:style>
  <w:style w:type="paragraph" w:customStyle="1" w:styleId="aNoteSymb">
    <w:name w:val="aNote Symb"/>
    <w:basedOn w:val="BillBasic"/>
    <w:rsid w:val="0040482C"/>
    <w:pPr>
      <w:tabs>
        <w:tab w:val="left" w:pos="1100"/>
        <w:tab w:val="left" w:pos="2381"/>
      </w:tabs>
      <w:ind w:left="1899" w:hanging="2381"/>
    </w:pPr>
    <w:rPr>
      <w:sz w:val="20"/>
    </w:rPr>
  </w:style>
  <w:style w:type="paragraph" w:customStyle="1" w:styleId="aNoteTextssSymb">
    <w:name w:val="aNoteTextss Symb"/>
    <w:basedOn w:val="Normal"/>
    <w:rsid w:val="0040482C"/>
    <w:pPr>
      <w:tabs>
        <w:tab w:val="clear" w:pos="0"/>
        <w:tab w:val="left" w:pos="1418"/>
      </w:tabs>
      <w:spacing w:before="60"/>
      <w:ind w:left="1417" w:hanging="1899"/>
      <w:jc w:val="both"/>
    </w:pPr>
    <w:rPr>
      <w:sz w:val="20"/>
    </w:rPr>
  </w:style>
  <w:style w:type="paragraph" w:customStyle="1" w:styleId="aNoteParaSymb">
    <w:name w:val="aNotePara Symb"/>
    <w:basedOn w:val="aNoteSymb"/>
    <w:rsid w:val="004048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0482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0482C"/>
    <w:pPr>
      <w:tabs>
        <w:tab w:val="left" w:pos="1616"/>
        <w:tab w:val="left" w:pos="2495"/>
      </w:tabs>
      <w:spacing w:before="60"/>
      <w:ind w:left="2013" w:hanging="2495"/>
    </w:pPr>
  </w:style>
  <w:style w:type="paragraph" w:customStyle="1" w:styleId="aExamHdgparSymb">
    <w:name w:val="aExamHdgpar Symb"/>
    <w:basedOn w:val="aExamHdgssSymb"/>
    <w:next w:val="Normal"/>
    <w:rsid w:val="0040482C"/>
    <w:pPr>
      <w:tabs>
        <w:tab w:val="clear" w:pos="1582"/>
        <w:tab w:val="left" w:pos="1599"/>
      </w:tabs>
      <w:ind w:left="1599" w:hanging="2081"/>
    </w:pPr>
  </w:style>
  <w:style w:type="paragraph" w:customStyle="1" w:styleId="aExamparSymb">
    <w:name w:val="aExampar Symb"/>
    <w:basedOn w:val="aExamssSymb"/>
    <w:rsid w:val="0040482C"/>
    <w:pPr>
      <w:tabs>
        <w:tab w:val="clear" w:pos="1582"/>
        <w:tab w:val="left" w:pos="1599"/>
      </w:tabs>
      <w:ind w:left="1599" w:hanging="2081"/>
    </w:pPr>
  </w:style>
  <w:style w:type="paragraph" w:customStyle="1" w:styleId="aExamINumparSymb">
    <w:name w:val="aExamINumpar Symb"/>
    <w:basedOn w:val="aExamparSymb"/>
    <w:rsid w:val="0040482C"/>
    <w:pPr>
      <w:tabs>
        <w:tab w:val="left" w:pos="2000"/>
      </w:tabs>
      <w:ind w:left="2041" w:hanging="2495"/>
    </w:pPr>
  </w:style>
  <w:style w:type="paragraph" w:customStyle="1" w:styleId="aExamBulletparSymb">
    <w:name w:val="aExamBulletpar Symb"/>
    <w:basedOn w:val="aExamparSymb"/>
    <w:rsid w:val="0040482C"/>
    <w:pPr>
      <w:tabs>
        <w:tab w:val="clear" w:pos="1599"/>
        <w:tab w:val="left" w:pos="1616"/>
        <w:tab w:val="left" w:pos="2495"/>
      </w:tabs>
      <w:ind w:left="2013" w:hanging="2495"/>
    </w:pPr>
  </w:style>
  <w:style w:type="paragraph" w:customStyle="1" w:styleId="aNoteparSymb">
    <w:name w:val="aNotepar Symb"/>
    <w:basedOn w:val="BillBasic"/>
    <w:next w:val="Normal"/>
    <w:rsid w:val="0040482C"/>
    <w:pPr>
      <w:tabs>
        <w:tab w:val="left" w:pos="1599"/>
        <w:tab w:val="left" w:pos="2398"/>
      </w:tabs>
      <w:ind w:left="2410" w:hanging="2892"/>
    </w:pPr>
    <w:rPr>
      <w:sz w:val="20"/>
    </w:rPr>
  </w:style>
  <w:style w:type="paragraph" w:customStyle="1" w:styleId="aNoteTextparSymb">
    <w:name w:val="aNoteTextpar Symb"/>
    <w:basedOn w:val="aNoteparSymb"/>
    <w:rsid w:val="0040482C"/>
    <w:pPr>
      <w:tabs>
        <w:tab w:val="clear" w:pos="1599"/>
        <w:tab w:val="clear" w:pos="2398"/>
        <w:tab w:val="left" w:pos="2880"/>
      </w:tabs>
      <w:spacing w:before="60"/>
      <w:ind w:left="2398" w:hanging="2880"/>
    </w:pPr>
  </w:style>
  <w:style w:type="paragraph" w:customStyle="1" w:styleId="aNoteParaparSymb">
    <w:name w:val="aNoteParapar Symb"/>
    <w:basedOn w:val="aNoteparSymb"/>
    <w:rsid w:val="0040482C"/>
    <w:pPr>
      <w:tabs>
        <w:tab w:val="right" w:pos="2640"/>
      </w:tabs>
      <w:spacing w:before="60"/>
      <w:ind w:left="2920" w:hanging="3402"/>
    </w:pPr>
  </w:style>
  <w:style w:type="paragraph" w:customStyle="1" w:styleId="aNoteBulletparSymb">
    <w:name w:val="aNoteBulletpar Symb"/>
    <w:basedOn w:val="aNoteparSymb"/>
    <w:rsid w:val="0040482C"/>
    <w:pPr>
      <w:tabs>
        <w:tab w:val="clear" w:pos="1599"/>
        <w:tab w:val="left" w:pos="3289"/>
      </w:tabs>
      <w:spacing w:before="60"/>
      <w:ind w:left="2807" w:hanging="3289"/>
    </w:pPr>
  </w:style>
  <w:style w:type="paragraph" w:customStyle="1" w:styleId="AsubparabulletSymb">
    <w:name w:val="A subpara bullet Symb"/>
    <w:basedOn w:val="BillBasic"/>
    <w:rsid w:val="0040482C"/>
    <w:pPr>
      <w:tabs>
        <w:tab w:val="left" w:pos="2138"/>
        <w:tab w:val="left" w:pos="3005"/>
      </w:tabs>
      <w:spacing w:before="60"/>
      <w:ind w:left="2523" w:hanging="3005"/>
    </w:pPr>
  </w:style>
  <w:style w:type="paragraph" w:customStyle="1" w:styleId="aExamHdgsubparSymb">
    <w:name w:val="aExamHdgsubpar Symb"/>
    <w:basedOn w:val="aExamHdgssSymb"/>
    <w:next w:val="Normal"/>
    <w:rsid w:val="0040482C"/>
    <w:pPr>
      <w:tabs>
        <w:tab w:val="clear" w:pos="1582"/>
        <w:tab w:val="left" w:pos="2620"/>
      </w:tabs>
      <w:ind w:left="2138" w:hanging="2620"/>
    </w:pPr>
  </w:style>
  <w:style w:type="paragraph" w:customStyle="1" w:styleId="aExamsubparSymb">
    <w:name w:val="aExamsubpar Symb"/>
    <w:basedOn w:val="aExamssSymb"/>
    <w:rsid w:val="0040482C"/>
    <w:pPr>
      <w:tabs>
        <w:tab w:val="clear" w:pos="1582"/>
        <w:tab w:val="left" w:pos="2620"/>
      </w:tabs>
      <w:ind w:left="2138" w:hanging="2620"/>
    </w:pPr>
  </w:style>
  <w:style w:type="paragraph" w:customStyle="1" w:styleId="aNotesubparSymb">
    <w:name w:val="aNotesubpar Symb"/>
    <w:basedOn w:val="BillBasic"/>
    <w:next w:val="Normal"/>
    <w:rsid w:val="0040482C"/>
    <w:pPr>
      <w:tabs>
        <w:tab w:val="left" w:pos="2138"/>
        <w:tab w:val="left" w:pos="2937"/>
      </w:tabs>
      <w:ind w:left="2455" w:hanging="2937"/>
    </w:pPr>
    <w:rPr>
      <w:sz w:val="20"/>
    </w:rPr>
  </w:style>
  <w:style w:type="paragraph" w:customStyle="1" w:styleId="aNoteTextsubparSymb">
    <w:name w:val="aNoteTextsubpar Symb"/>
    <w:basedOn w:val="aNotesubparSymb"/>
    <w:rsid w:val="0040482C"/>
    <w:pPr>
      <w:tabs>
        <w:tab w:val="clear" w:pos="2138"/>
        <w:tab w:val="clear" w:pos="2937"/>
        <w:tab w:val="left" w:pos="2943"/>
      </w:tabs>
      <w:spacing w:before="60"/>
      <w:ind w:left="2943" w:hanging="3425"/>
    </w:pPr>
  </w:style>
  <w:style w:type="paragraph" w:customStyle="1" w:styleId="PenaltySymb">
    <w:name w:val="Penalty Symb"/>
    <w:basedOn w:val="AmainreturnSymb"/>
    <w:rsid w:val="0040482C"/>
  </w:style>
  <w:style w:type="paragraph" w:customStyle="1" w:styleId="PenaltyParaSymb">
    <w:name w:val="PenaltyPara Symb"/>
    <w:basedOn w:val="Normal"/>
    <w:rsid w:val="0040482C"/>
    <w:pPr>
      <w:tabs>
        <w:tab w:val="right" w:pos="1360"/>
      </w:tabs>
      <w:spacing w:before="60"/>
      <w:ind w:left="1599" w:hanging="2081"/>
      <w:jc w:val="both"/>
    </w:pPr>
  </w:style>
  <w:style w:type="paragraph" w:customStyle="1" w:styleId="FormulaSymb">
    <w:name w:val="Formula Symb"/>
    <w:basedOn w:val="BillBasic"/>
    <w:rsid w:val="0040482C"/>
    <w:pPr>
      <w:tabs>
        <w:tab w:val="left" w:pos="-480"/>
      </w:tabs>
      <w:spacing w:line="260" w:lineRule="atLeast"/>
      <w:ind w:hanging="480"/>
      <w:jc w:val="center"/>
    </w:pPr>
  </w:style>
  <w:style w:type="paragraph" w:customStyle="1" w:styleId="NormalSymb">
    <w:name w:val="Normal Symb"/>
    <w:basedOn w:val="Normal"/>
    <w:qFormat/>
    <w:rsid w:val="0040482C"/>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0-11/" TargetMode="External"/><Relationship Id="rId21" Type="http://schemas.openxmlformats.org/officeDocument/2006/relationships/header" Target="header3.xml"/><Relationship Id="rId42" Type="http://schemas.openxmlformats.org/officeDocument/2006/relationships/hyperlink" Target="https://www.legislation.act.gov.au/a/2019-12/" TargetMode="External"/><Relationship Id="rId63" Type="http://schemas.openxmlformats.org/officeDocument/2006/relationships/header" Target="header6.xml"/><Relationship Id="rId84" Type="http://schemas.openxmlformats.org/officeDocument/2006/relationships/footer" Target="footer10.xml"/><Relationship Id="rId138" Type="http://schemas.openxmlformats.org/officeDocument/2006/relationships/fontTable" Target="fontTable.xml"/><Relationship Id="rId16" Type="http://schemas.openxmlformats.org/officeDocument/2006/relationships/hyperlink" Target="http://www.legislation.act.gov.au/a/2001-14" TargetMode="External"/><Relationship Id="rId107" Type="http://schemas.openxmlformats.org/officeDocument/2006/relationships/hyperlink" Target="https://www.legislation.act.gov.au/sl/2023-37/"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s://www.legislation.act.gov.au/sl/2020-10/" TargetMode="External"/><Relationship Id="rId53" Type="http://schemas.openxmlformats.org/officeDocument/2006/relationships/hyperlink" Target="https://www.legislation.act.gov.au/a/2019-12/" TargetMode="External"/><Relationship Id="rId58" Type="http://schemas.openxmlformats.org/officeDocument/2006/relationships/hyperlink" Target="https://www.legislation.gov.au/Series/C1973A00076" TargetMode="External"/><Relationship Id="rId74" Type="http://schemas.openxmlformats.org/officeDocument/2006/relationships/hyperlink" Target="https://www.legislation.act.gov.au/sl/2000-12/" TargetMode="External"/><Relationship Id="rId79" Type="http://schemas.openxmlformats.org/officeDocument/2006/relationships/hyperlink" Target="https://www.legislation.act.gov.au/sl/2000-12/" TargetMode="External"/><Relationship Id="rId102" Type="http://schemas.openxmlformats.org/officeDocument/2006/relationships/hyperlink" Target="http://www.legislation.act.gov.au/a/2001-14" TargetMode="External"/><Relationship Id="rId123" Type="http://schemas.openxmlformats.org/officeDocument/2006/relationships/hyperlink" Target="https://www.legislation.act.gov.au/sl/2020-11/" TargetMode="External"/><Relationship Id="rId128"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yperlink" Target="http://www.legislation.act.gov.au/a/2001-14" TargetMode="External"/><Relationship Id="rId95" Type="http://schemas.openxmlformats.org/officeDocument/2006/relationships/hyperlink" Target="https://www.legislation.act.gov.au/a/1999-77/"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act.gov.au/a/2019-12/" TargetMode="External"/><Relationship Id="rId48" Type="http://schemas.openxmlformats.org/officeDocument/2006/relationships/hyperlink" Target="https://www.legislation.act.gov.au/sl/2018-166/" TargetMode="External"/><Relationship Id="rId64" Type="http://schemas.openxmlformats.org/officeDocument/2006/relationships/header" Target="header7.xml"/><Relationship Id="rId69" Type="http://schemas.openxmlformats.org/officeDocument/2006/relationships/hyperlink" Target="https://www.legislation.act.gov.au/a/2001-62/" TargetMode="External"/><Relationship Id="rId113" Type="http://schemas.openxmlformats.org/officeDocument/2006/relationships/hyperlink" Target="http://www.legislation.act.gov.au/sl/2020-11/" TargetMode="External"/><Relationship Id="rId118" Type="http://schemas.openxmlformats.org/officeDocument/2006/relationships/hyperlink" Target="http://www.legislation.act.gov.au/sl/2023-37/" TargetMode="External"/><Relationship Id="rId134" Type="http://schemas.openxmlformats.org/officeDocument/2006/relationships/footer" Target="footer19.xml"/><Relationship Id="rId139" Type="http://schemas.openxmlformats.org/officeDocument/2006/relationships/theme" Target="theme/theme1.xml"/><Relationship Id="rId80" Type="http://schemas.openxmlformats.org/officeDocument/2006/relationships/hyperlink" Target="https://www.legislation.act.gov.au/a/1999-7/" TargetMode="External"/><Relationship Id="rId85" Type="http://schemas.openxmlformats.org/officeDocument/2006/relationships/footer" Target="footer11.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abs.gov.au" TargetMode="External"/><Relationship Id="rId38" Type="http://schemas.openxmlformats.org/officeDocument/2006/relationships/hyperlink" Target="https://www.legislation.act.gov.au/a/2019-12/" TargetMode="External"/><Relationship Id="rId59" Type="http://schemas.openxmlformats.org/officeDocument/2006/relationships/hyperlink" Target="https://www.legislation.gov.au/Series/C1973A00076" TargetMode="External"/><Relationship Id="rId103" Type="http://schemas.openxmlformats.org/officeDocument/2006/relationships/hyperlink" Target="http://www.legislation.act.gov.au/a/2019-12" TargetMode="External"/><Relationship Id="rId108" Type="http://schemas.openxmlformats.org/officeDocument/2006/relationships/hyperlink" Target="http://www.legislation.act.gov.au/sl/2020-11/" TargetMode="External"/><Relationship Id="rId124" Type="http://schemas.openxmlformats.org/officeDocument/2006/relationships/hyperlink" Target="https://www.legislation.act.gov.au/sl/2020-11/" TargetMode="External"/><Relationship Id="rId129" Type="http://schemas.openxmlformats.org/officeDocument/2006/relationships/footer" Target="footer16.xml"/><Relationship Id="rId54" Type="http://schemas.openxmlformats.org/officeDocument/2006/relationships/hyperlink" Target="https://www.legislation.act.gov.au/a/2019-12/" TargetMode="External"/><Relationship Id="rId70" Type="http://schemas.openxmlformats.org/officeDocument/2006/relationships/hyperlink" Target="https://www.legislation.act.gov.au/a/1999-81/" TargetMode="External"/><Relationship Id="rId75" Type="http://schemas.openxmlformats.org/officeDocument/2006/relationships/hyperlink" Target="https://www.legislation.act.gov.au/sl/2000-12/" TargetMode="External"/><Relationship Id="rId91" Type="http://schemas.openxmlformats.org/officeDocument/2006/relationships/hyperlink" Target="http://www.legislation.act.gov.au/a/2001-14" TargetMode="External"/><Relationship Id="rId96" Type="http://schemas.openxmlformats.org/officeDocument/2006/relationships/hyperlink" Target="https://www.legislation.act.gov.au/a/1999-7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s://www.legislation.gov.au/Series/C2004A00446" TargetMode="External"/><Relationship Id="rId49" Type="http://schemas.openxmlformats.org/officeDocument/2006/relationships/hyperlink" Target="https://www.legislation.act.gov.au/a/2019-12/" TargetMode="External"/><Relationship Id="rId114" Type="http://schemas.openxmlformats.org/officeDocument/2006/relationships/hyperlink" Target="http://www.legislation.act.gov.au/sl/2020-11/" TargetMode="External"/><Relationship Id="rId119" Type="http://schemas.openxmlformats.org/officeDocument/2006/relationships/hyperlink" Target="http://www.legislation.act.gov.au/sl/2022-18/" TargetMode="External"/><Relationship Id="rId44" Type="http://schemas.openxmlformats.org/officeDocument/2006/relationships/hyperlink" Target="http://www.legislation.act.gov.au/a/2001-14" TargetMode="External"/><Relationship Id="rId60" Type="http://schemas.openxmlformats.org/officeDocument/2006/relationships/hyperlink" Target="https://www.legislation.act.gov.au/a/2019-12/" TargetMode="External"/><Relationship Id="rId65" Type="http://schemas.openxmlformats.org/officeDocument/2006/relationships/footer" Target="footer7.xml"/><Relationship Id="rId81" Type="http://schemas.openxmlformats.org/officeDocument/2006/relationships/hyperlink" Target="https://www.legislation.act.gov.au/a/1999-7/" TargetMode="External"/><Relationship Id="rId86" Type="http://schemas.openxmlformats.org/officeDocument/2006/relationships/header" Target="header10.xml"/><Relationship Id="rId130" Type="http://schemas.openxmlformats.org/officeDocument/2006/relationships/footer" Target="footer17.xml"/><Relationship Id="rId135" Type="http://schemas.openxmlformats.org/officeDocument/2006/relationships/header" Target="header18.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19-12/" TargetMode="External"/><Relationship Id="rId109" Type="http://schemas.openxmlformats.org/officeDocument/2006/relationships/hyperlink" Target="http://www.legislation.act.gov.au/sl/2020-11/" TargetMode="External"/><Relationship Id="rId34" Type="http://schemas.openxmlformats.org/officeDocument/2006/relationships/hyperlink" Target="https://www.legislation.act.gov.au/a/2019-12/" TargetMode="External"/><Relationship Id="rId50" Type="http://schemas.openxmlformats.org/officeDocument/2006/relationships/hyperlink" Target="https://www.legislation.act.gov.au/a/2019-12/" TargetMode="External"/><Relationship Id="rId55" Type="http://schemas.openxmlformats.org/officeDocument/2006/relationships/hyperlink" Target="http://www.legislation.act.gov.au/a/2001-14" TargetMode="External"/><Relationship Id="rId76" Type="http://schemas.openxmlformats.org/officeDocument/2006/relationships/hyperlink" Target="https://www.legislation.act.gov.au/sl/2000-12/" TargetMode="External"/><Relationship Id="rId97" Type="http://schemas.openxmlformats.org/officeDocument/2006/relationships/hyperlink" Target="https://www.legislation.gov.au/Series/C2004A00446" TargetMode="External"/><Relationship Id="rId104" Type="http://schemas.openxmlformats.org/officeDocument/2006/relationships/hyperlink" Target="https://www.legislation.act.gov.au/cn/2019-13/" TargetMode="External"/><Relationship Id="rId120" Type="http://schemas.openxmlformats.org/officeDocument/2006/relationships/hyperlink" Target="http://www.legislation.act.gov.au/sl/2022-18/" TargetMode="External"/><Relationship Id="rId125" Type="http://schemas.openxmlformats.org/officeDocument/2006/relationships/hyperlink" Target="https://www.legislation.act.gov.au/sl/2022-18/" TargetMode="External"/><Relationship Id="rId7" Type="http://schemas.openxmlformats.org/officeDocument/2006/relationships/endnotes" Target="endnotes.xml"/><Relationship Id="rId71" Type="http://schemas.openxmlformats.org/officeDocument/2006/relationships/hyperlink" Target="https://www.legislation.act.gov.au/a/2001-62/" TargetMode="External"/><Relationship Id="rId92" Type="http://schemas.openxmlformats.org/officeDocument/2006/relationships/hyperlink" Target="http://www.legislation.act.gov.au/a/2019-1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act.gov.au/a/2019-12/" TargetMode="External"/><Relationship Id="rId45" Type="http://schemas.openxmlformats.org/officeDocument/2006/relationships/hyperlink" Target="https://www.legislation.act.gov.au/a/2019-12/" TargetMode="External"/><Relationship Id="rId66" Type="http://schemas.openxmlformats.org/officeDocument/2006/relationships/footer" Target="footer8.xml"/><Relationship Id="rId87" Type="http://schemas.openxmlformats.org/officeDocument/2006/relationships/header" Target="header11.xml"/><Relationship Id="rId110" Type="http://schemas.openxmlformats.org/officeDocument/2006/relationships/hyperlink" Target="http://www.legislation.act.gov.au/sl/2022-18/" TargetMode="External"/><Relationship Id="rId115" Type="http://schemas.openxmlformats.org/officeDocument/2006/relationships/hyperlink" Target="http://www.legislation.act.gov.au/sl/2020-11/" TargetMode="External"/><Relationship Id="rId131" Type="http://schemas.openxmlformats.org/officeDocument/2006/relationships/header" Target="header16.xml"/><Relationship Id="rId136" Type="http://schemas.openxmlformats.org/officeDocument/2006/relationships/footer" Target="footer20.xml"/><Relationship Id="rId61" Type="http://schemas.openxmlformats.org/officeDocument/2006/relationships/hyperlink" Target="https://www.legislation.act.gov.au/a/2019-12/" TargetMode="External"/><Relationship Id="rId82" Type="http://schemas.openxmlformats.org/officeDocument/2006/relationships/header" Target="header8.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s://www.legislation.act.gov.au/a/2019-12/" TargetMode="External"/><Relationship Id="rId56" Type="http://schemas.openxmlformats.org/officeDocument/2006/relationships/hyperlink" Target="https://www.legislation.act.gov.au/a/2019-12/" TargetMode="External"/><Relationship Id="rId77" Type="http://schemas.openxmlformats.org/officeDocument/2006/relationships/hyperlink" Target="https://www.legislation.act.gov.au/a/2001-62/" TargetMode="External"/><Relationship Id="rId100" Type="http://schemas.openxmlformats.org/officeDocument/2006/relationships/footer" Target="footer14.xml"/><Relationship Id="rId105" Type="http://schemas.openxmlformats.org/officeDocument/2006/relationships/hyperlink" Target="https://www.legislation.act.gov.au/sl/2020-11/" TargetMode="External"/><Relationship Id="rId126" Type="http://schemas.openxmlformats.org/officeDocument/2006/relationships/hyperlink" Target="https://www.legislation.act.gov.au/sl/2022-18/" TargetMode="External"/><Relationship Id="rId8" Type="http://schemas.openxmlformats.org/officeDocument/2006/relationships/image" Target="media/image1.png"/><Relationship Id="rId51" Type="http://schemas.openxmlformats.org/officeDocument/2006/relationships/hyperlink" Target="https://www.legislation.act.gov.au/a/2019-12/" TargetMode="External"/><Relationship Id="rId72" Type="http://schemas.openxmlformats.org/officeDocument/2006/relationships/hyperlink" Target="https://www.legislation.act.gov.au/a/1999-7/" TargetMode="External"/><Relationship Id="rId93" Type="http://schemas.openxmlformats.org/officeDocument/2006/relationships/hyperlink" Target="http://www.legislation.act.gov.au/a/2001-14" TargetMode="External"/><Relationship Id="rId98" Type="http://schemas.openxmlformats.org/officeDocument/2006/relationships/header" Target="header12.xml"/><Relationship Id="rId121" Type="http://schemas.openxmlformats.org/officeDocument/2006/relationships/hyperlink" Target="http://www.legislation.act.gov.au/sl/2022-18/"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footer" Target="footer9.xml"/><Relationship Id="rId116" Type="http://schemas.openxmlformats.org/officeDocument/2006/relationships/hyperlink" Target="http://www.legislation.act.gov.au/sl/2020-11/" TargetMode="External"/><Relationship Id="rId137" Type="http://schemas.openxmlformats.org/officeDocument/2006/relationships/header" Target="header19.xml"/><Relationship Id="rId20" Type="http://schemas.openxmlformats.org/officeDocument/2006/relationships/footer" Target="footer2.xml"/><Relationship Id="rId41" Type="http://schemas.openxmlformats.org/officeDocument/2006/relationships/hyperlink" Target="https://www.legislation.act.gov.au/sl/2020-10/" TargetMode="External"/><Relationship Id="rId62" Type="http://schemas.openxmlformats.org/officeDocument/2006/relationships/hyperlink" Target="https://www.legislation.act.gov.au/a/2019-12/" TargetMode="External"/><Relationship Id="rId83" Type="http://schemas.openxmlformats.org/officeDocument/2006/relationships/header" Target="header9.xml"/><Relationship Id="rId88" Type="http://schemas.openxmlformats.org/officeDocument/2006/relationships/footer" Target="footer12.xml"/><Relationship Id="rId111" Type="http://schemas.openxmlformats.org/officeDocument/2006/relationships/hyperlink" Target="http://www.legislation.act.gov.au/sl/2020-11/" TargetMode="External"/><Relationship Id="rId132" Type="http://schemas.openxmlformats.org/officeDocument/2006/relationships/header" Target="header17.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sl/2020-10/" TargetMode="External"/><Relationship Id="rId57" Type="http://schemas.openxmlformats.org/officeDocument/2006/relationships/hyperlink" Target="http://www.legislation.act.gov.au/a/2001-14" TargetMode="External"/><Relationship Id="rId106" Type="http://schemas.openxmlformats.org/officeDocument/2006/relationships/hyperlink" Target="https://www.legislation.act.gov.au/sl/2022-18/" TargetMode="External"/><Relationship Id="rId127" Type="http://schemas.openxmlformats.org/officeDocument/2006/relationships/header" Target="header14.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s://www.legislation.act.gov.au/a/2019-12/" TargetMode="External"/><Relationship Id="rId73" Type="http://schemas.openxmlformats.org/officeDocument/2006/relationships/hyperlink" Target="https://www.legislation.act.gov.au/sl/2000-12/" TargetMode="External"/><Relationship Id="rId78" Type="http://schemas.openxmlformats.org/officeDocument/2006/relationships/hyperlink" Target="https://www.legislation.act.gov.au/a/2001-62/" TargetMode="External"/><Relationship Id="rId94" Type="http://schemas.openxmlformats.org/officeDocument/2006/relationships/hyperlink" Target="http://www.legislation.act.gov.au/a/2019-12" TargetMode="External"/><Relationship Id="rId99" Type="http://schemas.openxmlformats.org/officeDocument/2006/relationships/header" Target="header13.xml"/><Relationship Id="rId101" Type="http://schemas.openxmlformats.org/officeDocument/2006/relationships/footer" Target="footer15.xml"/><Relationship Id="rId122" Type="http://schemas.openxmlformats.org/officeDocument/2006/relationships/hyperlink" Target="https://www.legislation.act.gov.au/sl/2020-11/"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s://www.legislation.act.gov.au/sl/2000-12/" TargetMode="External"/><Relationship Id="rId89" Type="http://schemas.openxmlformats.org/officeDocument/2006/relationships/footer" Target="footer13.xml"/><Relationship Id="rId112" Type="http://schemas.openxmlformats.org/officeDocument/2006/relationships/hyperlink" Target="http://www.legislation.act.gov.au/sl/2020-11/" TargetMode="External"/><Relationship Id="rId133"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ABA97-1326-43B7-8477-1DCB1949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7544</Words>
  <Characters>37579</Characters>
  <Application>Microsoft Office Word</Application>
  <DocSecurity>0</DocSecurity>
  <Lines>1386</Lines>
  <Paragraphs>890</Paragraphs>
  <ScaleCrop>false</ScaleCrop>
  <HeadingPairs>
    <vt:vector size="2" baseType="variant">
      <vt:variant>
        <vt:lpstr>Title</vt:lpstr>
      </vt:variant>
      <vt:variant>
        <vt:i4>1</vt:i4>
      </vt:variant>
    </vt:vector>
  </HeadingPairs>
  <TitlesOfParts>
    <vt:vector size="1" baseType="lpstr">
      <vt:lpstr>Motor Accident Injuries (Premiums and Administration) Regulation 2019</vt:lpstr>
    </vt:vector>
  </TitlesOfParts>
  <Manager>Regulation</Manager>
  <Company>Section</Company>
  <LinksUpToDate>false</LinksUpToDate>
  <CharactersWithSpaces>44461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(Premiums and Administration) Regulation 2019</dc:title>
  <dc:subject/>
  <dc:creator>ACT Government</dc:creator>
  <cp:keywords>R05</cp:keywords>
  <dc:description/>
  <cp:lastModifiedBy>PCODCS</cp:lastModifiedBy>
  <cp:revision>4</cp:revision>
  <cp:lastPrinted>2021-01-26T22:56:00Z</cp:lastPrinted>
  <dcterms:created xsi:type="dcterms:W3CDTF">2025-05-15T04:29:00Z</dcterms:created>
  <dcterms:modified xsi:type="dcterms:W3CDTF">2025-05-15T04:29:00Z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Christina Maselos</vt:lpwstr>
  </property>
  <property fmtid="{D5CDD505-2E9C-101B-9397-08002B2CF9AE}" pid="4" name="DrafterEmail">
    <vt:lpwstr>christina.maselos@act.gov.au</vt:lpwstr>
  </property>
  <property fmtid="{D5CDD505-2E9C-101B-9397-08002B2CF9AE}" pid="5" name="DrafterPh">
    <vt:lpwstr>62053775</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Chief Minister, Treasury and Economic Development Directorate</vt:lpwstr>
  </property>
  <property fmtid="{D5CDD505-2E9C-101B-9397-08002B2CF9AE}" pid="10" name="ClientName1">
    <vt:lpwstr>Erica Lejins</vt:lpwstr>
  </property>
  <property fmtid="{D5CDD505-2E9C-101B-9397-08002B2CF9AE}" pid="11" name="ClientEmail1">
    <vt:lpwstr>erica.lejins@act.gov.au</vt:lpwstr>
  </property>
  <property fmtid="{D5CDD505-2E9C-101B-9397-08002B2CF9AE}" pid="12" name="ClientPh1">
    <vt:lpwstr>62055496</vt:lpwstr>
  </property>
  <property fmtid="{D5CDD505-2E9C-101B-9397-08002B2CF9AE}" pid="13" name="ClientName2">
    <vt:lpwstr>Nicola Clark</vt:lpwstr>
  </property>
  <property fmtid="{D5CDD505-2E9C-101B-9397-08002B2CF9AE}" pid="14" name="ClientEmail2">
    <vt:lpwstr>nicola.clark@act.gov.au</vt:lpwstr>
  </property>
  <property fmtid="{D5CDD505-2E9C-101B-9397-08002B2CF9AE}" pid="15" name="ClientPh2">
    <vt:lpwstr>62071189</vt:lpwstr>
  </property>
  <property fmtid="{D5CDD505-2E9C-101B-9397-08002B2CF9AE}" pid="16" name="jobType">
    <vt:lpwstr>Drafting</vt:lpwstr>
  </property>
  <property fmtid="{D5CDD505-2E9C-101B-9397-08002B2CF9AE}" pid="17" name="DMSID">
    <vt:lpwstr>11338064</vt:lpwstr>
  </property>
  <property fmtid="{D5CDD505-2E9C-101B-9397-08002B2CF9AE}" pid="18" name="JMSREQUIREDCHECKIN">
    <vt:lpwstr/>
  </property>
  <property fmtid="{D5CDD505-2E9C-101B-9397-08002B2CF9AE}" pid="19" name="CHECKEDOUTFROMJMS">
    <vt:lpwstr/>
  </property>
  <property fmtid="{D5CDD505-2E9C-101B-9397-08002B2CF9AE}" pid="20" name="Citation">
    <vt:lpwstr>Motor Accident Injuries (Premiums and Administration) Regulation 2019</vt:lpwstr>
  </property>
  <property fmtid="{D5CDD505-2E9C-101B-9397-08002B2CF9AE}" pid="21" name="ActName">
    <vt:lpwstr>Motor Accident Injuries Act 2019</vt:lpwstr>
  </property>
  <property fmtid="{D5CDD505-2E9C-101B-9397-08002B2CF9AE}" pid="22" name="Status">
    <vt:lpwstr> </vt:lpwstr>
  </property>
  <property fmtid="{D5CDD505-2E9C-101B-9397-08002B2CF9AE}" pid="23" name="Eff">
    <vt:lpwstr>Effective:  </vt:lpwstr>
  </property>
  <property fmtid="{D5CDD505-2E9C-101B-9397-08002B2CF9AE}" pid="24" name="EndDt">
    <vt:lpwstr>-15/05/25</vt:lpwstr>
  </property>
  <property fmtid="{D5CDD505-2E9C-101B-9397-08002B2CF9AE}" pid="25" name="RepubDt">
    <vt:lpwstr>15/12/23</vt:lpwstr>
  </property>
  <property fmtid="{D5CDD505-2E9C-101B-9397-08002B2CF9AE}" pid="26" name="StartDt">
    <vt:lpwstr>15/12/23</vt:lpwstr>
  </property>
  <property fmtid="{D5CDD505-2E9C-101B-9397-08002B2CF9AE}" pid="27" name="MSIP_Label_69af8531-eb46-4968-8cb3-105d2f5ea87e_Enabled">
    <vt:lpwstr>true</vt:lpwstr>
  </property>
  <property fmtid="{D5CDD505-2E9C-101B-9397-08002B2CF9AE}" pid="28" name="MSIP_Label_69af8531-eb46-4968-8cb3-105d2f5ea87e_SetDate">
    <vt:lpwstr>2025-05-14T00:24:21Z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7736fab2-c130-41a6-a0f7-b615bad63fe4</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