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3F4E" w14:textId="77777777" w:rsidR="00E827D2" w:rsidRDefault="00E827D2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411875B2" wp14:editId="6267F4EB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D65D5" w14:textId="77777777" w:rsidR="00E827D2" w:rsidRDefault="00E827D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0CF90748" w14:textId="4A5A7C0B" w:rsidR="00CE358E" w:rsidRPr="00D17D0C" w:rsidRDefault="001269DE" w:rsidP="00CE358E">
      <w:pPr>
        <w:pStyle w:val="Billname1"/>
      </w:pPr>
      <w:r w:rsidRPr="00D17D0C">
        <w:fldChar w:fldCharType="begin"/>
      </w:r>
      <w:r w:rsidRPr="00D17D0C">
        <w:instrText xml:space="preserve"> REF Citation \*charformat </w:instrText>
      </w:r>
      <w:r w:rsidRPr="00D17D0C">
        <w:fldChar w:fldCharType="separate"/>
      </w:r>
      <w:r w:rsidR="001B60A5">
        <w:t>Gambling and Racing Control (Code of Practice) Amendment Regulation 2022 (No 1)</w:t>
      </w:r>
      <w:r w:rsidRPr="00D17D0C">
        <w:fldChar w:fldCharType="end"/>
      </w:r>
    </w:p>
    <w:p w14:paraId="4898FAB2" w14:textId="49F09642" w:rsidR="00CE358E" w:rsidRPr="00D17D0C" w:rsidRDefault="00CE358E" w:rsidP="00CE358E">
      <w:pPr>
        <w:pStyle w:val="ActNo"/>
      </w:pPr>
      <w:r w:rsidRPr="00D17D0C">
        <w:t xml:space="preserve">Subordinate Law </w:t>
      </w:r>
      <w:r w:rsidR="001269DE" w:rsidRPr="00D17D0C">
        <w:fldChar w:fldCharType="begin"/>
      </w:r>
      <w:r w:rsidR="001269DE" w:rsidRPr="00D17D0C">
        <w:instrText xml:space="preserve"> DOCPROPERTY "Category"  \* MERGEFORMAT </w:instrText>
      </w:r>
      <w:r w:rsidR="001269DE" w:rsidRPr="00D17D0C">
        <w:fldChar w:fldCharType="separate"/>
      </w:r>
      <w:r w:rsidR="001B60A5">
        <w:t>SL2022-17</w:t>
      </w:r>
      <w:r w:rsidR="001269DE" w:rsidRPr="00D17D0C">
        <w:fldChar w:fldCharType="end"/>
      </w:r>
    </w:p>
    <w:p w14:paraId="2FD65894" w14:textId="77777777" w:rsidR="00CE358E" w:rsidRPr="00D17D0C" w:rsidRDefault="00CE358E" w:rsidP="00CE358E">
      <w:pPr>
        <w:pStyle w:val="N-line3"/>
      </w:pPr>
    </w:p>
    <w:p w14:paraId="4D10FE68" w14:textId="2DC1379F" w:rsidR="00CE358E" w:rsidRPr="00D17D0C" w:rsidRDefault="00CE358E" w:rsidP="00CE358E">
      <w:pPr>
        <w:pStyle w:val="EnactingWords"/>
      </w:pPr>
      <w:r w:rsidRPr="00D17D0C">
        <w:t xml:space="preserve">The Australian Capital Territory Executive makes the following regulation under the </w:t>
      </w:r>
      <w:hyperlink r:id="rId9" w:tooltip="A1999-46" w:history="1">
        <w:r w:rsidR="00CC4A39" w:rsidRPr="00D17D0C">
          <w:rPr>
            <w:rStyle w:val="charCitHyperlinkItal"/>
          </w:rPr>
          <w:t>Gambling and Racing Control Act 1999</w:t>
        </w:r>
      </w:hyperlink>
      <w:r w:rsidRPr="00D17D0C">
        <w:t>.</w:t>
      </w:r>
    </w:p>
    <w:p w14:paraId="1FFCB10D" w14:textId="36E4664D" w:rsidR="00CE358E" w:rsidRPr="00D17D0C" w:rsidRDefault="00CE358E" w:rsidP="00CE358E">
      <w:pPr>
        <w:pStyle w:val="DateLine"/>
      </w:pPr>
      <w:r w:rsidRPr="00D17D0C">
        <w:t xml:space="preserve">Dated </w:t>
      </w:r>
      <w:r w:rsidR="00E827D2">
        <w:t>11 November 2022</w:t>
      </w:r>
      <w:r w:rsidRPr="00D17D0C">
        <w:t>.</w:t>
      </w:r>
    </w:p>
    <w:p w14:paraId="3C210E53" w14:textId="73356958" w:rsidR="00CE358E" w:rsidRPr="00D17D0C" w:rsidRDefault="00E827D2" w:rsidP="00CE358E">
      <w:pPr>
        <w:pStyle w:val="Minister"/>
      </w:pPr>
      <w:r>
        <w:t>Andrew Barr</w:t>
      </w:r>
    </w:p>
    <w:p w14:paraId="5B2F4E62" w14:textId="77777777" w:rsidR="00CE358E" w:rsidRPr="00D17D0C" w:rsidRDefault="00CE358E" w:rsidP="00CE358E">
      <w:pPr>
        <w:pStyle w:val="MinisterWord"/>
      </w:pPr>
      <w:r w:rsidRPr="00D17D0C">
        <w:t>Chief Minister</w:t>
      </w:r>
    </w:p>
    <w:p w14:paraId="40DEE356" w14:textId="631738D9" w:rsidR="00CE358E" w:rsidRPr="00D17D0C" w:rsidRDefault="00E827D2" w:rsidP="00CE358E">
      <w:pPr>
        <w:pStyle w:val="Minister"/>
      </w:pPr>
      <w:r>
        <w:t>Shane Rattenbury</w:t>
      </w:r>
    </w:p>
    <w:p w14:paraId="41C43CFF" w14:textId="77777777" w:rsidR="00CE358E" w:rsidRPr="00D17D0C" w:rsidRDefault="00CE358E" w:rsidP="00CE358E">
      <w:pPr>
        <w:pStyle w:val="MinisterWord"/>
      </w:pPr>
      <w:r w:rsidRPr="00D17D0C">
        <w:t>Minister</w:t>
      </w:r>
    </w:p>
    <w:p w14:paraId="2064EBEA" w14:textId="77777777" w:rsidR="00CE358E" w:rsidRPr="00D17D0C" w:rsidRDefault="00CE358E" w:rsidP="00CE358E">
      <w:pPr>
        <w:pStyle w:val="N-line3"/>
      </w:pPr>
    </w:p>
    <w:p w14:paraId="7C0078C6" w14:textId="77777777" w:rsidR="00D17D0C" w:rsidRDefault="00D17D0C">
      <w:pPr>
        <w:pStyle w:val="00SigningPage"/>
        <w:sectPr w:rsidR="00D17D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47A7FD0D" w14:textId="77777777" w:rsidR="00E827D2" w:rsidRDefault="00E827D2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AE6E49A" wp14:editId="76DCB1F9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3A468" w14:textId="77777777" w:rsidR="00E827D2" w:rsidRDefault="00E827D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FDD0F93" w14:textId="39ECE112" w:rsidR="00CE358E" w:rsidRPr="00D17D0C" w:rsidRDefault="00E827D2" w:rsidP="00CE358E">
      <w:pPr>
        <w:pStyle w:val="Billname"/>
      </w:pPr>
      <w:bookmarkStart w:id="0" w:name="Citation"/>
      <w:r>
        <w:t>Gambling and Racing Control (Code of Practice) Amendment Regulation 2022 (No 1)</w:t>
      </w:r>
      <w:bookmarkEnd w:id="0"/>
    </w:p>
    <w:p w14:paraId="6EAB4780" w14:textId="12402355" w:rsidR="00CE358E" w:rsidRPr="00D17D0C" w:rsidRDefault="00CE358E" w:rsidP="00CE358E">
      <w:pPr>
        <w:pStyle w:val="ActNo"/>
      </w:pPr>
      <w:r w:rsidRPr="00D17D0C">
        <w:t xml:space="preserve">Subordinate Law </w:t>
      </w:r>
      <w:r w:rsidR="001269DE" w:rsidRPr="00D17D0C">
        <w:fldChar w:fldCharType="begin"/>
      </w:r>
      <w:r w:rsidR="001269DE" w:rsidRPr="00D17D0C">
        <w:instrText xml:space="preserve"> DOCPROPERTY "Category"  \* MERGEFORMAT </w:instrText>
      </w:r>
      <w:r w:rsidR="001269DE" w:rsidRPr="00D17D0C">
        <w:fldChar w:fldCharType="separate"/>
      </w:r>
      <w:r w:rsidR="001B60A5">
        <w:t>SL2022-17</w:t>
      </w:r>
      <w:r w:rsidR="001269DE" w:rsidRPr="00D17D0C">
        <w:fldChar w:fldCharType="end"/>
      </w:r>
    </w:p>
    <w:p w14:paraId="3BE2F62E" w14:textId="77777777" w:rsidR="00CE358E" w:rsidRPr="00D17D0C" w:rsidRDefault="00CE358E" w:rsidP="00CE358E">
      <w:pPr>
        <w:pStyle w:val="madeunder"/>
      </w:pPr>
      <w:r w:rsidRPr="00D17D0C">
        <w:t>made under the</w:t>
      </w:r>
    </w:p>
    <w:bookmarkStart w:id="1" w:name="ActName"/>
    <w:p w14:paraId="0D0B2625" w14:textId="41981EAA" w:rsidR="00CE358E" w:rsidRPr="00D17D0C" w:rsidRDefault="008D03CD" w:rsidP="00CE358E">
      <w:pPr>
        <w:pStyle w:val="AuthLaw"/>
      </w:pPr>
      <w:r w:rsidRPr="00D17D0C">
        <w:rPr>
          <w:rStyle w:val="charCitHyperlinkAbbrev"/>
        </w:rPr>
        <w:fldChar w:fldCharType="begin"/>
      </w:r>
      <w:r w:rsidRPr="00D17D0C">
        <w:rPr>
          <w:rStyle w:val="charCitHyperlinkAbbrev"/>
        </w:rPr>
        <w:instrText>HYPERLINK "http://www.legislation.act.gov.au/a/1999-46" \o "A1999-46"</w:instrText>
      </w:r>
      <w:r w:rsidRPr="00D17D0C">
        <w:rPr>
          <w:rStyle w:val="charCitHyperlinkAbbrev"/>
        </w:rPr>
        <w:fldChar w:fldCharType="separate"/>
      </w:r>
      <w:r w:rsidRPr="00D17D0C">
        <w:rPr>
          <w:rStyle w:val="charCitHyperlinkAbbrev"/>
        </w:rPr>
        <w:t>Gambling and Racing Control Act 1999</w:t>
      </w:r>
      <w:r w:rsidRPr="00D17D0C">
        <w:rPr>
          <w:rStyle w:val="charCitHyperlinkAbbrev"/>
        </w:rPr>
        <w:fldChar w:fldCharType="end"/>
      </w:r>
      <w:bookmarkEnd w:id="1"/>
    </w:p>
    <w:p w14:paraId="7FC30E56" w14:textId="77777777" w:rsidR="00CE358E" w:rsidRPr="00D17D0C" w:rsidRDefault="00CE358E" w:rsidP="00CE358E">
      <w:pPr>
        <w:pStyle w:val="Placeholder"/>
      </w:pPr>
      <w:r w:rsidRPr="00D17D0C">
        <w:rPr>
          <w:rStyle w:val="CharChapNo"/>
        </w:rPr>
        <w:t xml:space="preserve"> </w:t>
      </w:r>
      <w:r w:rsidRPr="00D17D0C">
        <w:rPr>
          <w:rStyle w:val="CharChapText"/>
        </w:rPr>
        <w:t xml:space="preserve"> </w:t>
      </w:r>
    </w:p>
    <w:p w14:paraId="790A0295" w14:textId="77777777" w:rsidR="00CE358E" w:rsidRPr="00D17D0C" w:rsidRDefault="00CE358E" w:rsidP="00CE358E">
      <w:pPr>
        <w:pStyle w:val="Placeholder"/>
      </w:pPr>
      <w:r w:rsidRPr="00D17D0C">
        <w:rPr>
          <w:rStyle w:val="CharPartNo"/>
        </w:rPr>
        <w:t xml:space="preserve"> </w:t>
      </w:r>
      <w:r w:rsidRPr="00D17D0C">
        <w:rPr>
          <w:rStyle w:val="CharPartText"/>
        </w:rPr>
        <w:t xml:space="preserve"> </w:t>
      </w:r>
    </w:p>
    <w:p w14:paraId="10120C63" w14:textId="77777777" w:rsidR="00CE358E" w:rsidRPr="00D17D0C" w:rsidRDefault="00CE358E" w:rsidP="00CE358E">
      <w:pPr>
        <w:pStyle w:val="Placeholder"/>
      </w:pPr>
      <w:r w:rsidRPr="00D17D0C">
        <w:rPr>
          <w:rStyle w:val="CharDivNo"/>
        </w:rPr>
        <w:t xml:space="preserve"> </w:t>
      </w:r>
      <w:r w:rsidRPr="00D17D0C">
        <w:rPr>
          <w:rStyle w:val="CharDivText"/>
        </w:rPr>
        <w:t xml:space="preserve"> </w:t>
      </w:r>
    </w:p>
    <w:p w14:paraId="1F71E7FE" w14:textId="77777777" w:rsidR="00CE358E" w:rsidRPr="00D17D0C" w:rsidRDefault="00CE358E" w:rsidP="00CE358E">
      <w:pPr>
        <w:pStyle w:val="Placeholder"/>
      </w:pPr>
      <w:r w:rsidRPr="00D17D0C">
        <w:rPr>
          <w:rStyle w:val="charContents"/>
          <w:sz w:val="16"/>
        </w:rPr>
        <w:t xml:space="preserve"> </w:t>
      </w:r>
      <w:r w:rsidRPr="00D17D0C">
        <w:rPr>
          <w:rStyle w:val="charPage"/>
        </w:rPr>
        <w:t xml:space="preserve"> </w:t>
      </w:r>
    </w:p>
    <w:p w14:paraId="6FDDAD53" w14:textId="77777777" w:rsidR="00CE358E" w:rsidRPr="00D17D0C" w:rsidRDefault="00CE358E" w:rsidP="00CE358E">
      <w:pPr>
        <w:pStyle w:val="N-TOCheading"/>
      </w:pPr>
      <w:r w:rsidRPr="00D17D0C">
        <w:rPr>
          <w:rStyle w:val="charContents"/>
        </w:rPr>
        <w:t>Contents</w:t>
      </w:r>
    </w:p>
    <w:p w14:paraId="264F2FE2" w14:textId="77777777" w:rsidR="00CE358E" w:rsidRPr="00D17D0C" w:rsidRDefault="00CE358E" w:rsidP="00CE358E">
      <w:pPr>
        <w:pStyle w:val="N-9pt"/>
      </w:pPr>
      <w:r w:rsidRPr="00D17D0C">
        <w:tab/>
      </w:r>
      <w:r w:rsidRPr="00D17D0C">
        <w:rPr>
          <w:rStyle w:val="charPage"/>
        </w:rPr>
        <w:t>Page</w:t>
      </w:r>
    </w:p>
    <w:p w14:paraId="173F26BA" w14:textId="0D4D7FD7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10515058" w:history="1">
        <w:r w:rsidRPr="001E77B3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Name of regulation</w:t>
        </w:r>
        <w:r>
          <w:tab/>
        </w:r>
        <w:r>
          <w:fldChar w:fldCharType="begin"/>
        </w:r>
        <w:r>
          <w:instrText xml:space="preserve"> PAGEREF _Toc110515058 \h </w:instrText>
        </w:r>
        <w:r>
          <w:fldChar w:fldCharType="separate"/>
        </w:r>
        <w:r w:rsidR="001B60A5">
          <w:t>1</w:t>
        </w:r>
        <w:r>
          <w:fldChar w:fldCharType="end"/>
        </w:r>
      </w:hyperlink>
    </w:p>
    <w:p w14:paraId="6CBD7008" w14:textId="7DED0102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59" w:history="1">
        <w:r w:rsidRPr="001E77B3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Commencement</w:t>
        </w:r>
        <w:r>
          <w:tab/>
        </w:r>
        <w:r>
          <w:fldChar w:fldCharType="begin"/>
        </w:r>
        <w:r>
          <w:instrText xml:space="preserve"> PAGEREF _Toc110515059 \h </w:instrText>
        </w:r>
        <w:r>
          <w:fldChar w:fldCharType="separate"/>
        </w:r>
        <w:r w:rsidR="001B60A5">
          <w:t>1</w:t>
        </w:r>
        <w:r>
          <w:fldChar w:fldCharType="end"/>
        </w:r>
      </w:hyperlink>
    </w:p>
    <w:p w14:paraId="3A7FC12B" w14:textId="3C994118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60" w:history="1">
        <w:r w:rsidRPr="001E77B3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Legislation amended</w:t>
        </w:r>
        <w:r>
          <w:tab/>
        </w:r>
        <w:r>
          <w:fldChar w:fldCharType="begin"/>
        </w:r>
        <w:r>
          <w:instrText xml:space="preserve"> PAGEREF _Toc110515060 \h </w:instrText>
        </w:r>
        <w:r>
          <w:fldChar w:fldCharType="separate"/>
        </w:r>
        <w:r w:rsidR="001B60A5">
          <w:t>1</w:t>
        </w:r>
        <w:r>
          <w:fldChar w:fldCharType="end"/>
        </w:r>
      </w:hyperlink>
    </w:p>
    <w:p w14:paraId="52225594" w14:textId="1A3FA365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61" w:history="1">
        <w:r w:rsidRPr="001E77B3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new section 1.1A</w:t>
        </w:r>
        <w:r>
          <w:tab/>
        </w:r>
        <w:r>
          <w:fldChar w:fldCharType="begin"/>
        </w:r>
        <w:r>
          <w:instrText xml:space="preserve"> PAGEREF _Toc110515061 \h </w:instrText>
        </w:r>
        <w:r>
          <w:fldChar w:fldCharType="separate"/>
        </w:r>
        <w:r w:rsidR="001B60A5">
          <w:t>1</w:t>
        </w:r>
        <w:r>
          <w:fldChar w:fldCharType="end"/>
        </w:r>
      </w:hyperlink>
    </w:p>
    <w:p w14:paraId="0A39E922" w14:textId="3AE05824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62" w:history="1">
        <w:r w:rsidRPr="001E77B3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1.4 (1) (b)</w:t>
        </w:r>
        <w:r>
          <w:tab/>
        </w:r>
        <w:r>
          <w:fldChar w:fldCharType="begin"/>
        </w:r>
        <w:r>
          <w:instrText xml:space="preserve"> PAGEREF _Toc110515062 \h </w:instrText>
        </w:r>
        <w:r>
          <w:fldChar w:fldCharType="separate"/>
        </w:r>
        <w:r w:rsidR="001B60A5">
          <w:t>2</w:t>
        </w:r>
        <w:r>
          <w:fldChar w:fldCharType="end"/>
        </w:r>
      </w:hyperlink>
    </w:p>
    <w:p w14:paraId="6AB17313" w14:textId="7DA2D0D4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10515063" w:history="1">
        <w:r w:rsidRPr="001E77B3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1.4 (2) (c)</w:t>
        </w:r>
        <w:r>
          <w:tab/>
        </w:r>
        <w:r>
          <w:fldChar w:fldCharType="begin"/>
        </w:r>
        <w:r>
          <w:instrText xml:space="preserve"> PAGEREF _Toc110515063 \h </w:instrText>
        </w:r>
        <w:r>
          <w:fldChar w:fldCharType="separate"/>
        </w:r>
        <w:r w:rsidR="001B60A5">
          <w:t>2</w:t>
        </w:r>
        <w:r>
          <w:fldChar w:fldCharType="end"/>
        </w:r>
      </w:hyperlink>
    </w:p>
    <w:p w14:paraId="349882CF" w14:textId="1EE760EF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64" w:history="1">
        <w:r w:rsidRPr="001E77B3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1.4 (3) (b)</w:t>
        </w:r>
        <w:r>
          <w:tab/>
        </w:r>
        <w:r>
          <w:fldChar w:fldCharType="begin"/>
        </w:r>
        <w:r>
          <w:instrText xml:space="preserve"> PAGEREF _Toc110515064 \h </w:instrText>
        </w:r>
        <w:r>
          <w:fldChar w:fldCharType="separate"/>
        </w:r>
        <w:r w:rsidR="001B60A5">
          <w:t>2</w:t>
        </w:r>
        <w:r>
          <w:fldChar w:fldCharType="end"/>
        </w:r>
      </w:hyperlink>
    </w:p>
    <w:p w14:paraId="59DF100C" w14:textId="24DD9165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65" w:history="1">
        <w:r w:rsidRPr="001E77B3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division 1.2.4 heading</w:t>
        </w:r>
        <w:r>
          <w:tab/>
        </w:r>
        <w:r>
          <w:fldChar w:fldCharType="begin"/>
        </w:r>
        <w:r>
          <w:instrText xml:space="preserve"> PAGEREF _Toc110515065 \h </w:instrText>
        </w:r>
        <w:r>
          <w:fldChar w:fldCharType="separate"/>
        </w:r>
        <w:r w:rsidR="001B60A5">
          <w:t>2</w:t>
        </w:r>
        <w:r>
          <w:fldChar w:fldCharType="end"/>
        </w:r>
      </w:hyperlink>
    </w:p>
    <w:p w14:paraId="5D7775D3" w14:textId="1B2E0AE9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66" w:history="1">
        <w:r w:rsidRPr="001E77B3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sections 1.20A and 1.20B</w:t>
        </w:r>
        <w:r>
          <w:tab/>
        </w:r>
        <w:r>
          <w:fldChar w:fldCharType="begin"/>
        </w:r>
        <w:r>
          <w:instrText xml:space="preserve"> PAGEREF _Toc110515066 \h </w:instrText>
        </w:r>
        <w:r>
          <w:fldChar w:fldCharType="separate"/>
        </w:r>
        <w:r w:rsidR="001B60A5">
          <w:t>3</w:t>
        </w:r>
        <w:r>
          <w:fldChar w:fldCharType="end"/>
        </w:r>
      </w:hyperlink>
    </w:p>
    <w:p w14:paraId="4AEFF4D8" w14:textId="36C4AE83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67" w:history="1">
        <w:r w:rsidRPr="001E77B3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new division 1.2.5</w:t>
        </w:r>
        <w:r>
          <w:tab/>
        </w:r>
        <w:r>
          <w:fldChar w:fldCharType="begin"/>
        </w:r>
        <w:r>
          <w:instrText xml:space="preserve"> PAGEREF _Toc110515067 \h </w:instrText>
        </w:r>
        <w:r>
          <w:fldChar w:fldCharType="separate"/>
        </w:r>
        <w:r w:rsidR="001B60A5">
          <w:t>3</w:t>
        </w:r>
        <w:r>
          <w:fldChar w:fldCharType="end"/>
        </w:r>
      </w:hyperlink>
    </w:p>
    <w:p w14:paraId="7290F076" w14:textId="513A5498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68" w:history="1">
        <w:r w:rsidRPr="001E77B3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1.30 (6) and (7)</w:t>
        </w:r>
        <w:r>
          <w:tab/>
        </w:r>
        <w:r>
          <w:fldChar w:fldCharType="begin"/>
        </w:r>
        <w:r>
          <w:instrText xml:space="preserve"> PAGEREF _Toc110515068 \h </w:instrText>
        </w:r>
        <w:r>
          <w:fldChar w:fldCharType="separate"/>
        </w:r>
        <w:r w:rsidR="001B60A5">
          <w:t>10</w:t>
        </w:r>
        <w:r>
          <w:fldChar w:fldCharType="end"/>
        </w:r>
      </w:hyperlink>
    </w:p>
    <w:p w14:paraId="3D65D195" w14:textId="3F48776A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69" w:history="1">
        <w:r w:rsidRPr="001E77B3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 xml:space="preserve">Schedule 1, section 1.30 (10), definition of </w:t>
        </w:r>
        <w:r w:rsidRPr="001E77B3">
          <w:rPr>
            <w:i/>
          </w:rPr>
          <w:t>betting account</w:t>
        </w:r>
        <w:r>
          <w:tab/>
        </w:r>
        <w:r>
          <w:fldChar w:fldCharType="begin"/>
        </w:r>
        <w:r>
          <w:instrText xml:space="preserve"> PAGEREF _Toc110515069 \h </w:instrText>
        </w:r>
        <w:r>
          <w:fldChar w:fldCharType="separate"/>
        </w:r>
        <w:r w:rsidR="001B60A5">
          <w:t>10</w:t>
        </w:r>
        <w:r>
          <w:fldChar w:fldCharType="end"/>
        </w:r>
      </w:hyperlink>
    </w:p>
    <w:p w14:paraId="06261E91" w14:textId="5F32BB73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0" w:history="1">
        <w:r w:rsidRPr="001E77B3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1.30C heading</w:t>
        </w:r>
        <w:r>
          <w:tab/>
        </w:r>
        <w:r>
          <w:fldChar w:fldCharType="begin"/>
        </w:r>
        <w:r>
          <w:instrText xml:space="preserve"> PAGEREF _Toc110515070 \h </w:instrText>
        </w:r>
        <w:r>
          <w:fldChar w:fldCharType="separate"/>
        </w:r>
        <w:r w:rsidR="001B60A5">
          <w:t>10</w:t>
        </w:r>
        <w:r>
          <w:fldChar w:fldCharType="end"/>
        </w:r>
      </w:hyperlink>
    </w:p>
    <w:p w14:paraId="7F6F678E" w14:textId="343A9D66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1" w:history="1">
        <w:r w:rsidRPr="001E77B3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1.30C (1)</w:t>
        </w:r>
        <w:r>
          <w:tab/>
        </w:r>
        <w:r>
          <w:fldChar w:fldCharType="begin"/>
        </w:r>
        <w:r>
          <w:instrText xml:space="preserve"> PAGEREF _Toc110515071 \h </w:instrText>
        </w:r>
        <w:r>
          <w:fldChar w:fldCharType="separate"/>
        </w:r>
        <w:r w:rsidR="001B60A5">
          <w:t>11</w:t>
        </w:r>
        <w:r>
          <w:fldChar w:fldCharType="end"/>
        </w:r>
      </w:hyperlink>
    </w:p>
    <w:p w14:paraId="6FE4AC58" w14:textId="7FF5EBF7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2" w:history="1">
        <w:r w:rsidRPr="001E77B3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1.30C (4)</w:t>
        </w:r>
        <w:r>
          <w:tab/>
        </w:r>
        <w:r>
          <w:fldChar w:fldCharType="begin"/>
        </w:r>
        <w:r>
          <w:instrText xml:space="preserve"> PAGEREF _Toc110515072 \h </w:instrText>
        </w:r>
        <w:r>
          <w:fldChar w:fldCharType="separate"/>
        </w:r>
        <w:r w:rsidR="001B60A5">
          <w:t>11</w:t>
        </w:r>
        <w:r>
          <w:fldChar w:fldCharType="end"/>
        </w:r>
      </w:hyperlink>
    </w:p>
    <w:p w14:paraId="32B48C41" w14:textId="3D066CD5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3" w:history="1">
        <w:r w:rsidRPr="001E77B3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1.30D heading</w:t>
        </w:r>
        <w:r>
          <w:tab/>
        </w:r>
        <w:r>
          <w:fldChar w:fldCharType="begin"/>
        </w:r>
        <w:r>
          <w:instrText xml:space="preserve"> PAGEREF _Toc110515073 \h </w:instrText>
        </w:r>
        <w:r>
          <w:fldChar w:fldCharType="separate"/>
        </w:r>
        <w:r w:rsidR="001B60A5">
          <w:t>11</w:t>
        </w:r>
        <w:r>
          <w:fldChar w:fldCharType="end"/>
        </w:r>
      </w:hyperlink>
    </w:p>
    <w:p w14:paraId="53755CD3" w14:textId="516A21FF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4" w:history="1">
        <w:r w:rsidRPr="001E77B3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1.30D (1)</w:t>
        </w:r>
        <w:r>
          <w:tab/>
        </w:r>
        <w:r>
          <w:fldChar w:fldCharType="begin"/>
        </w:r>
        <w:r>
          <w:instrText xml:space="preserve"> PAGEREF _Toc110515074 \h </w:instrText>
        </w:r>
        <w:r>
          <w:fldChar w:fldCharType="separate"/>
        </w:r>
        <w:r w:rsidR="001B60A5">
          <w:t>11</w:t>
        </w:r>
        <w:r>
          <w:fldChar w:fldCharType="end"/>
        </w:r>
      </w:hyperlink>
    </w:p>
    <w:p w14:paraId="5876E1DE" w14:textId="34E6477B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5" w:history="1">
        <w:r w:rsidRPr="001E77B3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Schedule 1, section 130D (3)</w:t>
        </w:r>
        <w:r>
          <w:tab/>
        </w:r>
        <w:r>
          <w:fldChar w:fldCharType="begin"/>
        </w:r>
        <w:r>
          <w:instrText xml:space="preserve"> PAGEREF _Toc110515075 \h </w:instrText>
        </w:r>
        <w:r>
          <w:fldChar w:fldCharType="separate"/>
        </w:r>
        <w:r w:rsidR="001B60A5">
          <w:t>11</w:t>
        </w:r>
        <w:r>
          <w:fldChar w:fldCharType="end"/>
        </w:r>
      </w:hyperlink>
    </w:p>
    <w:p w14:paraId="63C3EBF8" w14:textId="381D666C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6" w:history="1">
        <w:r w:rsidRPr="001E77B3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Dictionary, notes 1 to 3</w:t>
        </w:r>
        <w:r>
          <w:tab/>
        </w:r>
        <w:r>
          <w:fldChar w:fldCharType="begin"/>
        </w:r>
        <w:r>
          <w:instrText xml:space="preserve"> PAGEREF _Toc110515076 \h </w:instrText>
        </w:r>
        <w:r>
          <w:fldChar w:fldCharType="separate"/>
        </w:r>
        <w:r w:rsidR="001B60A5">
          <w:t>12</w:t>
        </w:r>
        <w:r>
          <w:fldChar w:fldCharType="end"/>
        </w:r>
      </w:hyperlink>
    </w:p>
    <w:p w14:paraId="6E407FA1" w14:textId="562F27BB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7" w:history="1">
        <w:r w:rsidRPr="001E77B3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Dictionary, new definitions</w:t>
        </w:r>
        <w:r>
          <w:tab/>
        </w:r>
        <w:r>
          <w:fldChar w:fldCharType="begin"/>
        </w:r>
        <w:r>
          <w:instrText xml:space="preserve"> PAGEREF _Toc110515077 \h </w:instrText>
        </w:r>
        <w:r>
          <w:fldChar w:fldCharType="separate"/>
        </w:r>
        <w:r w:rsidR="001B60A5">
          <w:t>12</w:t>
        </w:r>
        <w:r>
          <w:fldChar w:fldCharType="end"/>
        </w:r>
      </w:hyperlink>
    </w:p>
    <w:p w14:paraId="3B6D2AF7" w14:textId="495F64B2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8" w:history="1">
        <w:r w:rsidRPr="001E77B3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 xml:space="preserve">Dictionary, definition of </w:t>
        </w:r>
        <w:r w:rsidRPr="001E77B3">
          <w:rPr>
            <w:i/>
          </w:rPr>
          <w:t>deed of exclusion</w:t>
        </w:r>
        <w:r>
          <w:tab/>
        </w:r>
        <w:r>
          <w:fldChar w:fldCharType="begin"/>
        </w:r>
        <w:r>
          <w:instrText xml:space="preserve"> PAGEREF _Toc110515078 \h </w:instrText>
        </w:r>
        <w:r>
          <w:fldChar w:fldCharType="separate"/>
        </w:r>
        <w:r w:rsidR="001B60A5">
          <w:t>13</w:t>
        </w:r>
        <w:r>
          <w:fldChar w:fldCharType="end"/>
        </w:r>
      </w:hyperlink>
    </w:p>
    <w:p w14:paraId="661619B9" w14:textId="2065420F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79" w:history="1">
        <w:r w:rsidRPr="001E77B3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Dictionary, new definitions</w:t>
        </w:r>
        <w:r>
          <w:tab/>
        </w:r>
        <w:r>
          <w:fldChar w:fldCharType="begin"/>
        </w:r>
        <w:r>
          <w:instrText xml:space="preserve"> PAGEREF _Toc110515079 \h </w:instrText>
        </w:r>
        <w:r>
          <w:fldChar w:fldCharType="separate"/>
        </w:r>
        <w:r w:rsidR="001B60A5">
          <w:t>13</w:t>
        </w:r>
        <w:r>
          <w:fldChar w:fldCharType="end"/>
        </w:r>
      </w:hyperlink>
    </w:p>
    <w:p w14:paraId="78E5BFCC" w14:textId="28E31C37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80" w:history="1">
        <w:r w:rsidRPr="001E77B3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 xml:space="preserve">Dictionary, definition of </w:t>
        </w:r>
        <w:r w:rsidRPr="001E77B3">
          <w:rPr>
            <w:i/>
          </w:rPr>
          <w:t>exclusion register</w:t>
        </w:r>
        <w:r w:rsidRPr="001E77B3">
          <w:t xml:space="preserve"> etc</w:t>
        </w:r>
        <w:r>
          <w:tab/>
        </w:r>
        <w:r>
          <w:fldChar w:fldCharType="begin"/>
        </w:r>
        <w:r>
          <w:instrText xml:space="preserve"> PAGEREF _Toc110515080 \h </w:instrText>
        </w:r>
        <w:r>
          <w:fldChar w:fldCharType="separate"/>
        </w:r>
        <w:r w:rsidR="001B60A5">
          <w:t>13</w:t>
        </w:r>
        <w:r>
          <w:fldChar w:fldCharType="end"/>
        </w:r>
      </w:hyperlink>
    </w:p>
    <w:p w14:paraId="20FBDD0A" w14:textId="21B7FAF2" w:rsidR="00AF2818" w:rsidRDefault="00AF281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10515081" w:history="1">
        <w:r w:rsidRPr="001E77B3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1E77B3">
          <w:t>Dictionary, new definitions</w:t>
        </w:r>
        <w:r>
          <w:tab/>
        </w:r>
        <w:r>
          <w:fldChar w:fldCharType="begin"/>
        </w:r>
        <w:r>
          <w:instrText xml:space="preserve"> PAGEREF _Toc110515081 \h </w:instrText>
        </w:r>
        <w:r>
          <w:fldChar w:fldCharType="separate"/>
        </w:r>
        <w:r w:rsidR="001B60A5">
          <w:t>14</w:t>
        </w:r>
        <w:r>
          <w:fldChar w:fldCharType="end"/>
        </w:r>
      </w:hyperlink>
    </w:p>
    <w:p w14:paraId="37152F87" w14:textId="795B79B5" w:rsidR="00CE358E" w:rsidRPr="00D17D0C" w:rsidRDefault="00AF2818" w:rsidP="00CE358E">
      <w:pPr>
        <w:pStyle w:val="BillBasic"/>
      </w:pPr>
      <w:r>
        <w:fldChar w:fldCharType="end"/>
      </w:r>
    </w:p>
    <w:p w14:paraId="2A6D6F1D" w14:textId="77777777" w:rsidR="00D17D0C" w:rsidRDefault="00D17D0C">
      <w:pPr>
        <w:pStyle w:val="01Contents"/>
        <w:sectPr w:rsidR="00D17D0C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53ED15DC" w14:textId="243E1035" w:rsidR="00CE358E" w:rsidRPr="00D17D0C" w:rsidRDefault="00D17D0C" w:rsidP="00D17D0C">
      <w:pPr>
        <w:pStyle w:val="AH5Sec"/>
        <w:shd w:val="pct25" w:color="auto" w:fill="auto"/>
      </w:pPr>
      <w:bookmarkStart w:id="2" w:name="_Toc110515058"/>
      <w:r w:rsidRPr="00D17D0C">
        <w:rPr>
          <w:rStyle w:val="CharSectNo"/>
        </w:rPr>
        <w:lastRenderedPageBreak/>
        <w:t>1</w:t>
      </w:r>
      <w:r w:rsidRPr="00D17D0C">
        <w:tab/>
      </w:r>
      <w:r w:rsidR="00CE358E" w:rsidRPr="00D17D0C">
        <w:t>Name of regulation</w:t>
      </w:r>
      <w:bookmarkEnd w:id="2"/>
    </w:p>
    <w:p w14:paraId="496C6F2A" w14:textId="31B1005D" w:rsidR="00CE358E" w:rsidRPr="00D17D0C" w:rsidRDefault="00CE358E" w:rsidP="00CE358E">
      <w:pPr>
        <w:pStyle w:val="Amainreturn"/>
      </w:pPr>
      <w:r w:rsidRPr="00D17D0C">
        <w:t xml:space="preserve">This regulation is the </w:t>
      </w:r>
      <w:r w:rsidRPr="00D17D0C">
        <w:rPr>
          <w:i/>
        </w:rPr>
        <w:fldChar w:fldCharType="begin"/>
      </w:r>
      <w:r w:rsidRPr="00D17D0C">
        <w:rPr>
          <w:i/>
        </w:rPr>
        <w:instrText xml:space="preserve"> REF citation \*charformat </w:instrText>
      </w:r>
      <w:r w:rsidRPr="00D17D0C">
        <w:rPr>
          <w:i/>
        </w:rPr>
        <w:fldChar w:fldCharType="separate"/>
      </w:r>
      <w:r w:rsidR="001B60A5" w:rsidRPr="001B60A5">
        <w:rPr>
          <w:i/>
        </w:rPr>
        <w:t>Gambling and Racing Control (Code of Practice) Amendment Regulation 2022 (No 1)</w:t>
      </w:r>
      <w:r w:rsidRPr="00D17D0C">
        <w:rPr>
          <w:i/>
        </w:rPr>
        <w:fldChar w:fldCharType="end"/>
      </w:r>
      <w:r w:rsidRPr="00D17D0C">
        <w:rPr>
          <w:iCs/>
        </w:rPr>
        <w:t>.</w:t>
      </w:r>
    </w:p>
    <w:p w14:paraId="5FF17AB8" w14:textId="1A78B82B" w:rsidR="00CE358E" w:rsidRPr="00D17D0C" w:rsidRDefault="00D17D0C" w:rsidP="00D17D0C">
      <w:pPr>
        <w:pStyle w:val="AH5Sec"/>
        <w:shd w:val="pct25" w:color="auto" w:fill="auto"/>
      </w:pPr>
      <w:bookmarkStart w:id="3" w:name="_Toc110515059"/>
      <w:r w:rsidRPr="00D17D0C">
        <w:rPr>
          <w:rStyle w:val="CharSectNo"/>
        </w:rPr>
        <w:t>2</w:t>
      </w:r>
      <w:r w:rsidRPr="00D17D0C">
        <w:tab/>
      </w:r>
      <w:r w:rsidR="00CE358E" w:rsidRPr="00D17D0C">
        <w:t>Commencement</w:t>
      </w:r>
      <w:bookmarkEnd w:id="3"/>
    </w:p>
    <w:p w14:paraId="4DFDC43A" w14:textId="294CDCB6" w:rsidR="00CE358E" w:rsidRPr="00D17D0C" w:rsidRDefault="00CE358E" w:rsidP="00D17D0C">
      <w:pPr>
        <w:pStyle w:val="Amainreturn"/>
        <w:keepNext/>
      </w:pPr>
      <w:r w:rsidRPr="00D17D0C">
        <w:t xml:space="preserve">This regulation commences on </w:t>
      </w:r>
      <w:r w:rsidR="00801B56" w:rsidRPr="00D17D0C">
        <w:t>14 November 2022</w:t>
      </w:r>
      <w:r w:rsidRPr="00D17D0C">
        <w:t>.</w:t>
      </w:r>
    </w:p>
    <w:p w14:paraId="1B5DC7AE" w14:textId="6E67C0DB" w:rsidR="00CE358E" w:rsidRPr="00D17D0C" w:rsidRDefault="00CE358E" w:rsidP="00CE358E">
      <w:pPr>
        <w:pStyle w:val="aNote"/>
      </w:pPr>
      <w:r w:rsidRPr="00D17D0C">
        <w:rPr>
          <w:rStyle w:val="charItals"/>
        </w:rPr>
        <w:t>Note</w:t>
      </w:r>
      <w:r w:rsidRPr="00D17D0C">
        <w:rPr>
          <w:rStyle w:val="charItals"/>
        </w:rPr>
        <w:tab/>
      </w:r>
      <w:r w:rsidRPr="00D17D0C">
        <w:t xml:space="preserve">The naming and commencement provisions automatically commence on the notification day (see </w:t>
      </w:r>
      <w:hyperlink r:id="rId21" w:tooltip="A2001-14" w:history="1">
        <w:r w:rsidR="008D03CD" w:rsidRPr="00D17D0C">
          <w:rPr>
            <w:rStyle w:val="charCitHyperlinkAbbrev"/>
          </w:rPr>
          <w:t>Legislation Act</w:t>
        </w:r>
      </w:hyperlink>
      <w:r w:rsidRPr="00D17D0C">
        <w:t>, s</w:t>
      </w:r>
      <w:r w:rsidR="002A0D87" w:rsidRPr="00D17D0C">
        <w:t xml:space="preserve"> </w:t>
      </w:r>
      <w:r w:rsidRPr="00D17D0C">
        <w:t>75 (1)).</w:t>
      </w:r>
    </w:p>
    <w:p w14:paraId="6413A606" w14:textId="60BF003B" w:rsidR="00CE358E" w:rsidRPr="00D17D0C" w:rsidRDefault="00D17D0C" w:rsidP="00D17D0C">
      <w:pPr>
        <w:pStyle w:val="AH5Sec"/>
        <w:shd w:val="pct25" w:color="auto" w:fill="auto"/>
      </w:pPr>
      <w:bookmarkStart w:id="4" w:name="_Toc110515060"/>
      <w:r w:rsidRPr="00D17D0C">
        <w:rPr>
          <w:rStyle w:val="CharSectNo"/>
        </w:rPr>
        <w:t>3</w:t>
      </w:r>
      <w:r w:rsidRPr="00D17D0C">
        <w:tab/>
      </w:r>
      <w:r w:rsidR="00CE358E" w:rsidRPr="00D17D0C">
        <w:t>Legislation amended</w:t>
      </w:r>
      <w:bookmarkEnd w:id="4"/>
    </w:p>
    <w:p w14:paraId="60D517E8" w14:textId="1D5E7FEE" w:rsidR="00CE358E" w:rsidRPr="00D17D0C" w:rsidRDefault="00CE358E" w:rsidP="00CE358E">
      <w:pPr>
        <w:pStyle w:val="Amainreturn"/>
      </w:pPr>
      <w:r w:rsidRPr="00D17D0C">
        <w:t xml:space="preserve">This regulation amends the </w:t>
      </w:r>
      <w:hyperlink r:id="rId22" w:tooltip="SL2002-28" w:history="1">
        <w:r w:rsidR="00CC4A39" w:rsidRPr="00D17D0C">
          <w:rPr>
            <w:rStyle w:val="charCitHyperlinkItal"/>
          </w:rPr>
          <w:t>Gambling and Racing Control (Code of Practice) Regulation 2002</w:t>
        </w:r>
      </w:hyperlink>
      <w:r w:rsidRPr="00D17D0C">
        <w:t>.</w:t>
      </w:r>
    </w:p>
    <w:p w14:paraId="6A03166A" w14:textId="44753D57" w:rsidR="00CE358E" w:rsidRPr="00D17D0C" w:rsidRDefault="00D17D0C" w:rsidP="00D17D0C">
      <w:pPr>
        <w:pStyle w:val="AH5Sec"/>
        <w:shd w:val="pct25" w:color="auto" w:fill="auto"/>
      </w:pPr>
      <w:bookmarkStart w:id="5" w:name="_Toc110515061"/>
      <w:r w:rsidRPr="00D17D0C">
        <w:rPr>
          <w:rStyle w:val="CharSectNo"/>
        </w:rPr>
        <w:t>4</w:t>
      </w:r>
      <w:r w:rsidRPr="00D17D0C">
        <w:tab/>
      </w:r>
      <w:r w:rsidR="00CE358E" w:rsidRPr="00D17D0C">
        <w:t>Schedule 1, new section 1.1A</w:t>
      </w:r>
      <w:bookmarkEnd w:id="5"/>
    </w:p>
    <w:p w14:paraId="137FD95F" w14:textId="77777777" w:rsidR="00CE358E" w:rsidRPr="00D17D0C" w:rsidRDefault="00CE358E" w:rsidP="00CE358E">
      <w:pPr>
        <w:pStyle w:val="direction"/>
      </w:pPr>
      <w:r w:rsidRPr="00D17D0C">
        <w:t>before section 1.1, insert</w:t>
      </w:r>
    </w:p>
    <w:p w14:paraId="2AC2C477" w14:textId="77777777" w:rsidR="00CE358E" w:rsidRPr="00D17D0C" w:rsidRDefault="00CE358E" w:rsidP="00CE358E">
      <w:pPr>
        <w:pStyle w:val="ISchclauseheading"/>
      </w:pPr>
      <w:r w:rsidRPr="00D17D0C">
        <w:t>1.1A</w:t>
      </w:r>
      <w:r w:rsidRPr="00D17D0C">
        <w:tab/>
        <w:t>Definitions—code of practice</w:t>
      </w:r>
    </w:p>
    <w:p w14:paraId="0CF7D07E" w14:textId="77777777" w:rsidR="00CE358E" w:rsidRPr="00D17D0C" w:rsidRDefault="00CE358E" w:rsidP="00CE358E">
      <w:pPr>
        <w:pStyle w:val="Amainreturn"/>
      </w:pPr>
      <w:r w:rsidRPr="00D17D0C">
        <w:t>In this code of practice:</w:t>
      </w:r>
    </w:p>
    <w:p w14:paraId="1A061B49" w14:textId="3967F37F" w:rsidR="00CE358E" w:rsidRPr="00D17D0C" w:rsidRDefault="00CE358E" w:rsidP="00D17D0C">
      <w:pPr>
        <w:pStyle w:val="aDef"/>
      </w:pPr>
      <w:r w:rsidRPr="00D17D0C">
        <w:rPr>
          <w:rStyle w:val="charBoldItals"/>
        </w:rPr>
        <w:t xml:space="preserve">betting account </w:t>
      </w:r>
      <w:r w:rsidRPr="00D17D0C">
        <w:t>means an account held by a person with a licensee into which funds are or can be deposited and used by the person to place a bet with the licensee.</w:t>
      </w:r>
    </w:p>
    <w:p w14:paraId="77518B1E" w14:textId="69AA4728" w:rsidR="00CE358E" w:rsidRPr="00D17D0C" w:rsidRDefault="00CE358E" w:rsidP="00D17D0C">
      <w:pPr>
        <w:pStyle w:val="aDef"/>
        <w:keepLines/>
      </w:pPr>
      <w:r w:rsidRPr="00D17D0C">
        <w:rPr>
          <w:rStyle w:val="charBoldItals"/>
        </w:rPr>
        <w:t>direct marketing</w:t>
      </w:r>
      <w:r w:rsidRPr="00D17D0C">
        <w:t xml:space="preserve"> </w:t>
      </w:r>
      <w:r w:rsidRPr="00D17D0C">
        <w:rPr>
          <w:color w:val="000000"/>
          <w:shd w:val="clear" w:color="auto" w:fill="FFFFFF"/>
        </w:rPr>
        <w:t>includes any advertising, promotion or offer from a licensee, or from a person on the licensee’s behalf, that is made directly to a person by telephone, SMS, email, internet application, post or other direct means.</w:t>
      </w:r>
    </w:p>
    <w:p w14:paraId="4478C52A" w14:textId="4D5E965E" w:rsidR="00507451" w:rsidRPr="00D17D0C" w:rsidRDefault="00507451" w:rsidP="00D17D0C">
      <w:pPr>
        <w:pStyle w:val="aDef"/>
        <w:keepLines/>
      </w:pPr>
      <w:r w:rsidRPr="00D17D0C">
        <w:rPr>
          <w:rStyle w:val="charBoldItals"/>
        </w:rPr>
        <w:t>electronic race bookmaking licensee</w:t>
      </w:r>
      <w:r w:rsidRPr="00D17D0C">
        <w:t xml:space="preserve"> means </w:t>
      </w:r>
      <w:r w:rsidR="00F539BB" w:rsidRPr="00D17D0C">
        <w:t xml:space="preserve">the holder of a race bookmaking licence under the </w:t>
      </w:r>
      <w:hyperlink r:id="rId23" w:tooltip="A2001-49" w:history="1">
        <w:r w:rsidR="00151141" w:rsidRPr="00D17D0C">
          <w:rPr>
            <w:rStyle w:val="charCitHyperlinkItal"/>
          </w:rPr>
          <w:t>Race and Sports Bookmaking Act 2001</w:t>
        </w:r>
      </w:hyperlink>
      <w:r w:rsidR="00F539BB" w:rsidRPr="00D17D0C">
        <w:t xml:space="preserve"> who accepts a bet using a telecommunication service.</w:t>
      </w:r>
    </w:p>
    <w:p w14:paraId="7B64A0B0" w14:textId="77777777" w:rsidR="00507451" w:rsidRPr="00D17D0C" w:rsidRDefault="00507451" w:rsidP="00507451">
      <w:pPr>
        <w:pStyle w:val="aExamHdgss"/>
      </w:pPr>
      <w:r w:rsidRPr="00D17D0C">
        <w:t>Examples</w:t>
      </w:r>
      <w:r w:rsidRPr="00D17D0C">
        <w:rPr>
          <w:rFonts w:cs="Arial"/>
          <w:color w:val="000000"/>
          <w:shd w:val="clear" w:color="auto" w:fill="FFFFFF"/>
        </w:rPr>
        <w:t>—telecommunication service</w:t>
      </w:r>
    </w:p>
    <w:p w14:paraId="5E75762C" w14:textId="77777777" w:rsidR="00507451" w:rsidRPr="00D17D0C" w:rsidRDefault="00507451" w:rsidP="00507451">
      <w:pPr>
        <w:pStyle w:val="aExamss"/>
      </w:pPr>
      <w:r w:rsidRPr="00D17D0C">
        <w:t>telephone, email, internet</w:t>
      </w:r>
    </w:p>
    <w:p w14:paraId="0E5308AB" w14:textId="4773E717" w:rsidR="00CE358E" w:rsidRPr="00D17D0C" w:rsidRDefault="00D17D0C" w:rsidP="00D17D0C">
      <w:pPr>
        <w:pStyle w:val="AH5Sec"/>
        <w:shd w:val="pct25" w:color="auto" w:fill="auto"/>
      </w:pPr>
      <w:bookmarkStart w:id="6" w:name="_Toc110515062"/>
      <w:r w:rsidRPr="00D17D0C">
        <w:rPr>
          <w:rStyle w:val="CharSectNo"/>
        </w:rPr>
        <w:lastRenderedPageBreak/>
        <w:t>5</w:t>
      </w:r>
      <w:r w:rsidRPr="00D17D0C">
        <w:tab/>
      </w:r>
      <w:r w:rsidR="00CE358E" w:rsidRPr="00D17D0C">
        <w:t>Schedule 1, section 1.4 (1) (b)</w:t>
      </w:r>
      <w:bookmarkEnd w:id="6"/>
    </w:p>
    <w:p w14:paraId="22804AE2" w14:textId="77777777" w:rsidR="00CE358E" w:rsidRPr="00D17D0C" w:rsidRDefault="00CE358E" w:rsidP="00CE358E">
      <w:pPr>
        <w:pStyle w:val="direction"/>
      </w:pPr>
      <w:r w:rsidRPr="00D17D0C">
        <w:t>omit</w:t>
      </w:r>
    </w:p>
    <w:p w14:paraId="2EC593DF" w14:textId="77777777" w:rsidR="00CE358E" w:rsidRPr="00D17D0C" w:rsidRDefault="00CE358E" w:rsidP="00CE358E">
      <w:pPr>
        <w:pStyle w:val="Amainreturn"/>
      </w:pPr>
      <w:r w:rsidRPr="00D17D0C">
        <w:t>his or her</w:t>
      </w:r>
    </w:p>
    <w:p w14:paraId="6CC6AEB2" w14:textId="77777777" w:rsidR="00CE358E" w:rsidRPr="00D17D0C" w:rsidRDefault="00CE358E" w:rsidP="00CE358E">
      <w:pPr>
        <w:pStyle w:val="direction"/>
      </w:pPr>
      <w:r w:rsidRPr="00D17D0C">
        <w:t>substitute</w:t>
      </w:r>
    </w:p>
    <w:p w14:paraId="1D28D6F5" w14:textId="77777777" w:rsidR="00CE358E" w:rsidRPr="00D17D0C" w:rsidRDefault="00CE358E" w:rsidP="00CE358E">
      <w:pPr>
        <w:pStyle w:val="Amainreturn"/>
      </w:pPr>
      <w:r w:rsidRPr="00D17D0C">
        <w:t>the staff member’s</w:t>
      </w:r>
    </w:p>
    <w:p w14:paraId="42CB24E2" w14:textId="169AB08E" w:rsidR="00CE358E" w:rsidRPr="00D17D0C" w:rsidRDefault="00D17D0C" w:rsidP="00D17D0C">
      <w:pPr>
        <w:pStyle w:val="AH5Sec"/>
        <w:shd w:val="pct25" w:color="auto" w:fill="auto"/>
      </w:pPr>
      <w:bookmarkStart w:id="7" w:name="_Toc110515063"/>
      <w:r w:rsidRPr="00D17D0C">
        <w:rPr>
          <w:rStyle w:val="CharSectNo"/>
        </w:rPr>
        <w:t>6</w:t>
      </w:r>
      <w:r w:rsidRPr="00D17D0C">
        <w:tab/>
      </w:r>
      <w:r w:rsidR="00CE358E" w:rsidRPr="00D17D0C">
        <w:t>Schedule 1, section 1.4 (2) (c)</w:t>
      </w:r>
      <w:bookmarkEnd w:id="7"/>
    </w:p>
    <w:p w14:paraId="0652CE91" w14:textId="77777777" w:rsidR="00CE358E" w:rsidRPr="00D17D0C" w:rsidRDefault="00CE358E" w:rsidP="00CE358E">
      <w:pPr>
        <w:pStyle w:val="direction"/>
      </w:pPr>
      <w:r w:rsidRPr="00D17D0C">
        <w:t>omit</w:t>
      </w:r>
    </w:p>
    <w:p w14:paraId="31CB49B3" w14:textId="77777777" w:rsidR="00CE358E" w:rsidRPr="00D17D0C" w:rsidRDefault="00CE358E" w:rsidP="00CE358E">
      <w:pPr>
        <w:pStyle w:val="Amainreturn"/>
      </w:pPr>
      <w:r w:rsidRPr="00D17D0C">
        <w:t>his or her</w:t>
      </w:r>
    </w:p>
    <w:p w14:paraId="5ED71445" w14:textId="77777777" w:rsidR="00CE358E" w:rsidRPr="00D17D0C" w:rsidRDefault="00CE358E" w:rsidP="00CE358E">
      <w:pPr>
        <w:pStyle w:val="direction"/>
      </w:pPr>
      <w:r w:rsidRPr="00D17D0C">
        <w:t>substitute</w:t>
      </w:r>
    </w:p>
    <w:p w14:paraId="7C317667" w14:textId="77777777" w:rsidR="00CE358E" w:rsidRPr="00D17D0C" w:rsidRDefault="00CE358E" w:rsidP="00CE358E">
      <w:pPr>
        <w:pStyle w:val="Amainreturn"/>
      </w:pPr>
      <w:r w:rsidRPr="00D17D0C">
        <w:t>the person’s</w:t>
      </w:r>
    </w:p>
    <w:p w14:paraId="1098375F" w14:textId="1A3C4E75" w:rsidR="00CE358E" w:rsidRPr="00D17D0C" w:rsidRDefault="00D17D0C" w:rsidP="00D17D0C">
      <w:pPr>
        <w:pStyle w:val="AH5Sec"/>
        <w:shd w:val="pct25" w:color="auto" w:fill="auto"/>
      </w:pPr>
      <w:bookmarkStart w:id="8" w:name="_Toc110515064"/>
      <w:r w:rsidRPr="00D17D0C">
        <w:rPr>
          <w:rStyle w:val="CharSectNo"/>
        </w:rPr>
        <w:t>7</w:t>
      </w:r>
      <w:r w:rsidRPr="00D17D0C">
        <w:tab/>
      </w:r>
      <w:r w:rsidR="00CE358E" w:rsidRPr="00D17D0C">
        <w:t>Schedule 1, section 1.4 (3) (b)</w:t>
      </w:r>
      <w:bookmarkEnd w:id="8"/>
    </w:p>
    <w:p w14:paraId="3A90E4FE" w14:textId="77777777" w:rsidR="00CE358E" w:rsidRPr="00D17D0C" w:rsidRDefault="00CE358E" w:rsidP="00CE358E">
      <w:pPr>
        <w:pStyle w:val="direction"/>
      </w:pPr>
      <w:r w:rsidRPr="00D17D0C">
        <w:t>omit</w:t>
      </w:r>
    </w:p>
    <w:p w14:paraId="63ADC7ED" w14:textId="77777777" w:rsidR="00CE358E" w:rsidRPr="00D17D0C" w:rsidRDefault="00CE358E" w:rsidP="00CE358E">
      <w:pPr>
        <w:pStyle w:val="Amainreturn"/>
      </w:pPr>
      <w:r w:rsidRPr="00D17D0C">
        <w:t>his or her</w:t>
      </w:r>
    </w:p>
    <w:p w14:paraId="1CDBBF45" w14:textId="77777777" w:rsidR="00CE358E" w:rsidRPr="00D17D0C" w:rsidRDefault="00CE358E" w:rsidP="00CE358E">
      <w:pPr>
        <w:pStyle w:val="direction"/>
      </w:pPr>
      <w:r w:rsidRPr="00D17D0C">
        <w:t>substitute</w:t>
      </w:r>
    </w:p>
    <w:p w14:paraId="35456A52" w14:textId="77777777" w:rsidR="00CE358E" w:rsidRPr="00D17D0C" w:rsidRDefault="00CE358E" w:rsidP="00CE358E">
      <w:pPr>
        <w:pStyle w:val="Amainreturn"/>
      </w:pPr>
      <w:r w:rsidRPr="00D17D0C">
        <w:t>the staff member’s</w:t>
      </w:r>
    </w:p>
    <w:p w14:paraId="430CA4BB" w14:textId="759CC4F1" w:rsidR="00CE358E" w:rsidRPr="00D17D0C" w:rsidRDefault="00D17D0C" w:rsidP="00D17D0C">
      <w:pPr>
        <w:pStyle w:val="AH5Sec"/>
        <w:shd w:val="pct25" w:color="auto" w:fill="auto"/>
      </w:pPr>
      <w:bookmarkStart w:id="9" w:name="_Toc110515065"/>
      <w:r w:rsidRPr="00D17D0C">
        <w:rPr>
          <w:rStyle w:val="CharSectNo"/>
        </w:rPr>
        <w:t>8</w:t>
      </w:r>
      <w:r w:rsidRPr="00D17D0C">
        <w:tab/>
      </w:r>
      <w:r w:rsidR="00CE358E" w:rsidRPr="00D17D0C">
        <w:t>Schedule 1, division 1.2.4 heading</w:t>
      </w:r>
      <w:bookmarkEnd w:id="9"/>
    </w:p>
    <w:p w14:paraId="571864B6" w14:textId="77777777" w:rsidR="00CE358E" w:rsidRPr="00D17D0C" w:rsidRDefault="00CE358E" w:rsidP="00512FF3">
      <w:pPr>
        <w:pStyle w:val="direction"/>
      </w:pPr>
      <w:r w:rsidRPr="00D17D0C">
        <w:t>substitute</w:t>
      </w:r>
    </w:p>
    <w:p w14:paraId="5DDC7E98" w14:textId="38A0FADC" w:rsidR="00CE358E" w:rsidRPr="00D17D0C" w:rsidRDefault="00373665" w:rsidP="00461397">
      <w:pPr>
        <w:pStyle w:val="ISched-form"/>
        <w:keepNext w:val="0"/>
      </w:pPr>
      <w:r w:rsidRPr="00D17D0C">
        <w:t xml:space="preserve">Division </w:t>
      </w:r>
      <w:r w:rsidR="00CE358E" w:rsidRPr="00D17D0C">
        <w:t>1.2.4</w:t>
      </w:r>
      <w:r w:rsidR="00CE358E" w:rsidRPr="00D17D0C">
        <w:tab/>
        <w:t>Betting accounts—</w:t>
      </w:r>
      <w:r w:rsidR="00507451" w:rsidRPr="00D17D0C">
        <w:t xml:space="preserve">electronic </w:t>
      </w:r>
      <w:r w:rsidR="00CE358E" w:rsidRPr="00D17D0C">
        <w:t>race bookmaking</w:t>
      </w:r>
      <w:r w:rsidR="00507451" w:rsidRPr="00D17D0C">
        <w:t>,</w:t>
      </w:r>
      <w:r w:rsidR="00CE358E" w:rsidRPr="00D17D0C">
        <w:t xml:space="preserve"> sports bookmaking </w:t>
      </w:r>
      <w:r w:rsidR="00507451" w:rsidRPr="00D17D0C">
        <w:t xml:space="preserve">and totalisator </w:t>
      </w:r>
      <w:r w:rsidR="00CE358E" w:rsidRPr="00D17D0C">
        <w:t>licensees</w:t>
      </w:r>
    </w:p>
    <w:p w14:paraId="6EF17D4F" w14:textId="3B137C85" w:rsidR="00CE358E" w:rsidRPr="00D17D0C" w:rsidRDefault="00D17D0C" w:rsidP="00D17D0C">
      <w:pPr>
        <w:pStyle w:val="AH5Sec"/>
        <w:shd w:val="pct25" w:color="auto" w:fill="auto"/>
      </w:pPr>
      <w:bookmarkStart w:id="10" w:name="_Toc110515066"/>
      <w:r w:rsidRPr="00D17D0C">
        <w:rPr>
          <w:rStyle w:val="CharSectNo"/>
        </w:rPr>
        <w:lastRenderedPageBreak/>
        <w:t>9</w:t>
      </w:r>
      <w:r w:rsidRPr="00D17D0C">
        <w:tab/>
      </w:r>
      <w:r w:rsidR="00CE358E" w:rsidRPr="00D17D0C">
        <w:t>Schedule 1, sections 1.20A and 1.20B</w:t>
      </w:r>
      <w:bookmarkEnd w:id="10"/>
    </w:p>
    <w:p w14:paraId="416135B6" w14:textId="77777777" w:rsidR="00CE358E" w:rsidRPr="00D17D0C" w:rsidRDefault="00CE358E" w:rsidP="00CE358E">
      <w:pPr>
        <w:pStyle w:val="direction"/>
      </w:pPr>
      <w:r w:rsidRPr="00D17D0C">
        <w:t>substitute</w:t>
      </w:r>
    </w:p>
    <w:p w14:paraId="49566441" w14:textId="48F8B046" w:rsidR="00CE358E" w:rsidRPr="00D17D0C" w:rsidRDefault="00CE358E" w:rsidP="00373665">
      <w:pPr>
        <w:pStyle w:val="ISchclauseheading"/>
        <w:rPr>
          <w:shd w:val="clear" w:color="auto" w:fill="FFFFFF"/>
        </w:rPr>
      </w:pPr>
      <w:r w:rsidRPr="00D17D0C">
        <w:rPr>
          <w:shd w:val="clear" w:color="auto" w:fill="FFFFFF"/>
        </w:rPr>
        <w:t>1.20A</w:t>
      </w:r>
      <w:r w:rsidRPr="00D17D0C">
        <w:rPr>
          <w:shd w:val="clear" w:color="auto" w:fill="FFFFFF"/>
        </w:rPr>
        <w:tab/>
        <w:t>Application</w:t>
      </w:r>
      <w:r w:rsidRPr="00D17D0C">
        <w:t>—div</w:t>
      </w:r>
      <w:r w:rsidR="002A0D87" w:rsidRPr="00D17D0C">
        <w:t xml:space="preserve"> </w:t>
      </w:r>
      <w:r w:rsidRPr="00D17D0C">
        <w:t>1.2.4</w:t>
      </w:r>
    </w:p>
    <w:p w14:paraId="1250E2FD" w14:textId="77777777" w:rsidR="00CE358E" w:rsidRPr="00D17D0C" w:rsidRDefault="00CE358E" w:rsidP="00CE358E">
      <w:pPr>
        <w:pStyle w:val="Amainreturn"/>
      </w:pPr>
      <w:r w:rsidRPr="00D17D0C">
        <w:rPr>
          <w:color w:val="000000"/>
          <w:shd w:val="clear" w:color="auto" w:fill="FFFFFF"/>
        </w:rPr>
        <w:t>This division applies to the following licensees</w:t>
      </w:r>
      <w:r w:rsidRPr="00D17D0C">
        <w:t>:</w:t>
      </w:r>
    </w:p>
    <w:p w14:paraId="4420C16D" w14:textId="56D11B5F" w:rsidR="00CE358E" w:rsidRPr="00D17D0C" w:rsidRDefault="00CE358E" w:rsidP="00373665">
      <w:pPr>
        <w:pStyle w:val="ISchpara"/>
        <w:rPr>
          <w:shd w:val="clear" w:color="auto" w:fill="FFFFFF"/>
        </w:rPr>
      </w:pPr>
      <w:r w:rsidRPr="00D17D0C">
        <w:rPr>
          <w:shd w:val="clear" w:color="auto" w:fill="FFFFFF"/>
        </w:rPr>
        <w:tab/>
        <w:t>(a)</w:t>
      </w:r>
      <w:r w:rsidRPr="00D17D0C">
        <w:rPr>
          <w:shd w:val="clear" w:color="auto" w:fill="FFFFFF"/>
        </w:rPr>
        <w:tab/>
        <w:t>a</w:t>
      </w:r>
      <w:r w:rsidR="00507451" w:rsidRPr="00D17D0C">
        <w:rPr>
          <w:shd w:val="clear" w:color="auto" w:fill="FFFFFF"/>
        </w:rPr>
        <w:t xml:space="preserve">n electronic </w:t>
      </w:r>
      <w:r w:rsidRPr="00D17D0C">
        <w:rPr>
          <w:shd w:val="clear" w:color="auto" w:fill="FFFFFF"/>
        </w:rPr>
        <w:t>race bookmaking licensee;</w:t>
      </w:r>
    </w:p>
    <w:p w14:paraId="37A9514F" w14:textId="3398EB6F" w:rsidR="00CE358E" w:rsidRPr="00D17D0C" w:rsidRDefault="00CE358E" w:rsidP="00373665">
      <w:pPr>
        <w:pStyle w:val="ISchpara"/>
        <w:rPr>
          <w:shd w:val="clear" w:color="auto" w:fill="FFFFFF"/>
        </w:rPr>
      </w:pPr>
      <w:r w:rsidRPr="00D17D0C">
        <w:rPr>
          <w:shd w:val="clear" w:color="auto" w:fill="FFFFFF"/>
        </w:rPr>
        <w:tab/>
        <w:t>(b)</w:t>
      </w:r>
      <w:r w:rsidRPr="00D17D0C">
        <w:rPr>
          <w:shd w:val="clear" w:color="auto" w:fill="FFFFFF"/>
        </w:rPr>
        <w:tab/>
        <w:t>a sports bookmaking licensee;</w:t>
      </w:r>
    </w:p>
    <w:p w14:paraId="75A10DF3" w14:textId="79BFEC25" w:rsidR="00CE358E" w:rsidRPr="00D17D0C" w:rsidRDefault="00CE358E" w:rsidP="00373665">
      <w:pPr>
        <w:pStyle w:val="ISchpara"/>
        <w:rPr>
          <w:shd w:val="clear" w:color="auto" w:fill="FFFFFF"/>
        </w:rPr>
      </w:pPr>
      <w:r w:rsidRPr="00D17D0C">
        <w:rPr>
          <w:shd w:val="clear" w:color="auto" w:fill="FFFFFF"/>
        </w:rPr>
        <w:tab/>
        <w:t>(c)</w:t>
      </w:r>
      <w:r w:rsidRPr="00D17D0C">
        <w:rPr>
          <w:shd w:val="clear" w:color="auto" w:fill="FFFFFF"/>
        </w:rPr>
        <w:tab/>
        <w:t>a totalisator licensee.</w:t>
      </w:r>
    </w:p>
    <w:p w14:paraId="242934DD" w14:textId="77777777" w:rsidR="00CE358E" w:rsidRPr="00D17D0C" w:rsidRDefault="00CE358E" w:rsidP="00CE358E">
      <w:pPr>
        <w:pStyle w:val="ISchclauseheading"/>
      </w:pPr>
      <w:r w:rsidRPr="00D17D0C">
        <w:t>1.20B</w:t>
      </w:r>
      <w:r w:rsidRPr="00D17D0C">
        <w:tab/>
        <w:t xml:space="preserve">Meaning of </w:t>
      </w:r>
      <w:r w:rsidRPr="00D17D0C">
        <w:rPr>
          <w:rStyle w:val="charItals"/>
        </w:rPr>
        <w:t>deposit limit</w:t>
      </w:r>
      <w:r w:rsidRPr="00D17D0C">
        <w:t>—div 1.2.4</w:t>
      </w:r>
    </w:p>
    <w:p w14:paraId="5BDDC964" w14:textId="77777777" w:rsidR="00CE358E" w:rsidRPr="00D17D0C" w:rsidRDefault="00CE358E" w:rsidP="00CE358E">
      <w:pPr>
        <w:pStyle w:val="Amainreturn"/>
      </w:pPr>
      <w:r w:rsidRPr="00D17D0C">
        <w:t>In this division:</w:t>
      </w:r>
    </w:p>
    <w:p w14:paraId="6683E9A0" w14:textId="41595F1F" w:rsidR="00CE358E" w:rsidRPr="00D17D0C" w:rsidRDefault="00CE358E" w:rsidP="00D17D0C">
      <w:pPr>
        <w:pStyle w:val="aDef"/>
      </w:pPr>
      <w:r w:rsidRPr="00D17D0C">
        <w:rPr>
          <w:rStyle w:val="charBoldItals"/>
        </w:rPr>
        <w:t>deposit limit</w:t>
      </w:r>
      <w:r w:rsidRPr="00D17D0C">
        <w:t>, for a person’s betting account, means a limit to the amount that can be deposited into the account during a stated period or periods.</w:t>
      </w:r>
    </w:p>
    <w:p w14:paraId="6DA69955" w14:textId="5C516EC6" w:rsidR="00CE358E" w:rsidRPr="00D17D0C" w:rsidRDefault="00D17D0C" w:rsidP="00D17D0C">
      <w:pPr>
        <w:pStyle w:val="AH5Sec"/>
        <w:shd w:val="pct25" w:color="auto" w:fill="auto"/>
      </w:pPr>
      <w:bookmarkStart w:id="11" w:name="_Toc110515067"/>
      <w:r w:rsidRPr="00D17D0C">
        <w:rPr>
          <w:rStyle w:val="CharSectNo"/>
        </w:rPr>
        <w:t>10</w:t>
      </w:r>
      <w:r w:rsidRPr="00D17D0C">
        <w:tab/>
      </w:r>
      <w:r w:rsidR="00CE358E" w:rsidRPr="00D17D0C">
        <w:t>Schedule 1, new division 1.2.5</w:t>
      </w:r>
      <w:bookmarkEnd w:id="11"/>
    </w:p>
    <w:p w14:paraId="2B553589" w14:textId="77777777" w:rsidR="00CE358E" w:rsidRPr="00D17D0C" w:rsidRDefault="00CE358E" w:rsidP="00CE358E">
      <w:pPr>
        <w:pStyle w:val="direction"/>
      </w:pPr>
      <w:r w:rsidRPr="00D17D0C">
        <w:t>insert</w:t>
      </w:r>
    </w:p>
    <w:p w14:paraId="7EF392B8" w14:textId="0C93FC5D" w:rsidR="00CE358E" w:rsidRPr="00D17D0C" w:rsidRDefault="00373665" w:rsidP="00373665">
      <w:pPr>
        <w:pStyle w:val="ISched-form"/>
      </w:pPr>
      <w:r w:rsidRPr="00D17D0C">
        <w:t xml:space="preserve">Division </w:t>
      </w:r>
      <w:r w:rsidR="00CE358E" w:rsidRPr="00D17D0C">
        <w:t>1.2.5</w:t>
      </w:r>
      <w:r w:rsidR="00CE358E" w:rsidRPr="00D17D0C">
        <w:tab/>
        <w:t>Betting accounts—activity statements</w:t>
      </w:r>
    </w:p>
    <w:p w14:paraId="6150A7C2" w14:textId="0C4179E1" w:rsidR="00CE358E" w:rsidRPr="00D17D0C" w:rsidRDefault="00CE358E" w:rsidP="00373665">
      <w:pPr>
        <w:pStyle w:val="ISchclauseheading"/>
      </w:pPr>
      <w:r w:rsidRPr="00D17D0C">
        <w:t>1.20I</w:t>
      </w:r>
      <w:r w:rsidRPr="00D17D0C">
        <w:tab/>
        <w:t>Application</w:t>
      </w:r>
      <w:r w:rsidRPr="00D17D0C">
        <w:rPr>
          <w:rFonts w:cs="Arial"/>
          <w:color w:val="000000"/>
          <w:shd w:val="clear" w:color="auto" w:fill="FFFFFF"/>
        </w:rPr>
        <w:t>—</w:t>
      </w:r>
      <w:r w:rsidRPr="00D17D0C">
        <w:t>div 1.2.5</w:t>
      </w:r>
    </w:p>
    <w:p w14:paraId="6E40B4AF" w14:textId="77777777" w:rsidR="00CE358E" w:rsidRPr="00D17D0C" w:rsidRDefault="00CE358E" w:rsidP="00CE358E">
      <w:pPr>
        <w:pStyle w:val="Amainreturn"/>
      </w:pPr>
      <w:r w:rsidRPr="00D17D0C">
        <w:t xml:space="preserve">This division applies to </w:t>
      </w:r>
      <w:r w:rsidRPr="00D17D0C">
        <w:rPr>
          <w:color w:val="000000"/>
          <w:shd w:val="clear" w:color="auto" w:fill="FFFFFF"/>
        </w:rPr>
        <w:t>the following licensees</w:t>
      </w:r>
      <w:r w:rsidRPr="00D17D0C">
        <w:t>:</w:t>
      </w:r>
    </w:p>
    <w:p w14:paraId="43609D67" w14:textId="5B129DD2" w:rsidR="00CE358E" w:rsidRPr="00D17D0C" w:rsidRDefault="00CE358E" w:rsidP="00373665">
      <w:pPr>
        <w:pStyle w:val="ISchpara"/>
      </w:pPr>
      <w:r w:rsidRPr="00D17D0C">
        <w:tab/>
        <w:t>(a)</w:t>
      </w:r>
      <w:r w:rsidRPr="00D17D0C">
        <w:tab/>
      </w:r>
      <w:r w:rsidR="00507451" w:rsidRPr="00D17D0C">
        <w:t>a</w:t>
      </w:r>
      <w:r w:rsidR="00507451" w:rsidRPr="00D17D0C">
        <w:rPr>
          <w:shd w:val="clear" w:color="auto" w:fill="FFFFFF"/>
        </w:rPr>
        <w:t xml:space="preserve">n electronic race </w:t>
      </w:r>
      <w:r w:rsidRPr="00D17D0C">
        <w:t>bookmaking licensee;</w:t>
      </w:r>
    </w:p>
    <w:p w14:paraId="6C834DC2" w14:textId="77777777" w:rsidR="00CE358E" w:rsidRPr="00D17D0C" w:rsidRDefault="00CE358E" w:rsidP="00373665">
      <w:pPr>
        <w:pStyle w:val="ISchpara"/>
      </w:pPr>
      <w:r w:rsidRPr="00D17D0C">
        <w:tab/>
        <w:t>(b)</w:t>
      </w:r>
      <w:r w:rsidRPr="00D17D0C">
        <w:tab/>
        <w:t>a sports bookmaking licensee;</w:t>
      </w:r>
    </w:p>
    <w:p w14:paraId="044B0769" w14:textId="77777777" w:rsidR="00CE358E" w:rsidRPr="00D17D0C" w:rsidRDefault="00CE358E" w:rsidP="00373665">
      <w:pPr>
        <w:pStyle w:val="ISchpara"/>
      </w:pPr>
      <w:r w:rsidRPr="00D17D0C">
        <w:tab/>
        <w:t>(c)</w:t>
      </w:r>
      <w:r w:rsidRPr="00D17D0C">
        <w:tab/>
        <w:t>a totalisator licensee.</w:t>
      </w:r>
    </w:p>
    <w:p w14:paraId="75BD5E38" w14:textId="2A3D9E8C" w:rsidR="00CE358E" w:rsidRPr="00D17D0C" w:rsidRDefault="00CE358E" w:rsidP="00373665">
      <w:pPr>
        <w:pStyle w:val="ISchclauseheading"/>
      </w:pPr>
      <w:r w:rsidRPr="00D17D0C">
        <w:lastRenderedPageBreak/>
        <w:t>1.20J</w:t>
      </w:r>
      <w:r w:rsidRPr="00D17D0C">
        <w:tab/>
        <w:t>Definitions</w:t>
      </w:r>
      <w:r w:rsidRPr="00D17D0C">
        <w:rPr>
          <w:rFonts w:cs="Arial"/>
          <w:bCs/>
          <w:color w:val="000000"/>
          <w:shd w:val="clear" w:color="auto" w:fill="FFFFFF"/>
        </w:rPr>
        <w:t>—</w:t>
      </w:r>
      <w:r w:rsidRPr="00D17D0C">
        <w:t>div 1.2.5</w:t>
      </w:r>
    </w:p>
    <w:p w14:paraId="7CD4861F" w14:textId="77777777" w:rsidR="00CE358E" w:rsidRPr="00D17D0C" w:rsidRDefault="00CE358E" w:rsidP="00461397">
      <w:pPr>
        <w:pStyle w:val="Amainreturn"/>
        <w:keepNext/>
      </w:pPr>
      <w:r w:rsidRPr="00D17D0C">
        <w:t>In this division:</w:t>
      </w:r>
    </w:p>
    <w:p w14:paraId="002A562A" w14:textId="21C4702D" w:rsidR="00CE358E" w:rsidRPr="00D17D0C" w:rsidRDefault="00CE358E" w:rsidP="00D17D0C">
      <w:pPr>
        <w:pStyle w:val="aDef"/>
      </w:pPr>
      <w:r w:rsidRPr="00D17D0C">
        <w:rPr>
          <w:rStyle w:val="charBoldItals"/>
        </w:rPr>
        <w:t>account holder</w:t>
      </w:r>
      <w:r w:rsidRPr="00D17D0C">
        <w:t>, for a betting account—see section 1.20K</w:t>
      </w:r>
      <w:r w:rsidR="002A0D87" w:rsidRPr="00D17D0C">
        <w:t xml:space="preserve"> </w:t>
      </w:r>
      <w:r w:rsidRPr="00D17D0C">
        <w:t>(1).</w:t>
      </w:r>
    </w:p>
    <w:p w14:paraId="73384952" w14:textId="77777777" w:rsidR="00CE358E" w:rsidRPr="00D17D0C" w:rsidRDefault="00CE358E" w:rsidP="00D17D0C">
      <w:pPr>
        <w:pStyle w:val="aDef"/>
      </w:pPr>
      <w:r w:rsidRPr="00D17D0C">
        <w:rPr>
          <w:rStyle w:val="charBoldItals"/>
        </w:rPr>
        <w:t>activity statement</w:t>
      </w:r>
      <w:r w:rsidRPr="00D17D0C">
        <w:t>, for a betting account—see section 1.20K (1).</w:t>
      </w:r>
    </w:p>
    <w:p w14:paraId="5161B43E" w14:textId="77777777" w:rsidR="00CE358E" w:rsidRPr="00D17D0C" w:rsidRDefault="00CE358E" w:rsidP="00D17D0C">
      <w:pPr>
        <w:pStyle w:val="aDef"/>
      </w:pPr>
      <w:r w:rsidRPr="00D17D0C">
        <w:rPr>
          <w:rStyle w:val="charBoldItals"/>
        </w:rPr>
        <w:t>bonus bet</w:t>
      </w:r>
      <w:r w:rsidRPr="00D17D0C">
        <w:t>—see section 1.30 (7).</w:t>
      </w:r>
    </w:p>
    <w:p w14:paraId="2C4C9481" w14:textId="77777777" w:rsidR="00CE358E" w:rsidRPr="00D17D0C" w:rsidRDefault="00CE358E" w:rsidP="00D17D0C">
      <w:pPr>
        <w:pStyle w:val="aDef"/>
      </w:pPr>
      <w:r w:rsidRPr="00D17D0C">
        <w:rPr>
          <w:rStyle w:val="charBoldItals"/>
        </w:rPr>
        <w:t>online betting account</w:t>
      </w:r>
      <w:r w:rsidRPr="00D17D0C">
        <w:t xml:space="preserve"> means a betting account that can be used to make and settle bets online.</w:t>
      </w:r>
    </w:p>
    <w:p w14:paraId="10E9D482" w14:textId="7080AFB5" w:rsidR="00CE358E" w:rsidRPr="00D17D0C" w:rsidRDefault="00CE358E" w:rsidP="00D17D0C">
      <w:pPr>
        <w:pStyle w:val="aDef"/>
      </w:pPr>
      <w:r w:rsidRPr="00D17D0C">
        <w:rPr>
          <w:rStyle w:val="charBoldItals"/>
        </w:rPr>
        <w:t>statement period</w:t>
      </w:r>
      <w:r w:rsidRPr="00D17D0C">
        <w:t>, for an activity statement—see section</w:t>
      </w:r>
      <w:r w:rsidR="002A0D87" w:rsidRPr="00D17D0C">
        <w:t xml:space="preserve"> </w:t>
      </w:r>
      <w:r w:rsidRPr="00D17D0C">
        <w:t>1.20K (1).</w:t>
      </w:r>
    </w:p>
    <w:p w14:paraId="758A492E" w14:textId="77777777" w:rsidR="00CE358E" w:rsidRPr="00D17D0C" w:rsidRDefault="00CE358E" w:rsidP="00D17D0C">
      <w:pPr>
        <w:pStyle w:val="aDef"/>
      </w:pPr>
      <w:r w:rsidRPr="00D17D0C">
        <w:rPr>
          <w:rStyle w:val="charBoldItals"/>
        </w:rPr>
        <w:t>transaction</w:t>
      </w:r>
      <w:r w:rsidRPr="00D17D0C">
        <w:t>, in relation to a betting account, means doing any of the following:</w:t>
      </w:r>
    </w:p>
    <w:p w14:paraId="55264E44" w14:textId="77777777" w:rsidR="00CE358E" w:rsidRPr="00D17D0C" w:rsidRDefault="00CE358E" w:rsidP="00CE358E">
      <w:pPr>
        <w:pStyle w:val="Idefpara"/>
      </w:pPr>
      <w:r w:rsidRPr="00D17D0C">
        <w:tab/>
        <w:t>(a)</w:t>
      </w:r>
      <w:r w:rsidRPr="00D17D0C">
        <w:tab/>
        <w:t>using the account to make or settle a bet, including a bonus bet;</w:t>
      </w:r>
    </w:p>
    <w:p w14:paraId="3995578D" w14:textId="77777777" w:rsidR="00CE358E" w:rsidRPr="00D17D0C" w:rsidRDefault="00CE358E" w:rsidP="00CE358E">
      <w:pPr>
        <w:pStyle w:val="Idefpara"/>
      </w:pPr>
      <w:r w:rsidRPr="00D17D0C">
        <w:tab/>
        <w:t>(b)</w:t>
      </w:r>
      <w:r w:rsidRPr="00D17D0C">
        <w:tab/>
        <w:t>depositing money into the account;</w:t>
      </w:r>
    </w:p>
    <w:p w14:paraId="314C95B0" w14:textId="77777777" w:rsidR="00CE358E" w:rsidRPr="00D17D0C" w:rsidRDefault="00CE358E" w:rsidP="00CE358E">
      <w:pPr>
        <w:pStyle w:val="Ipara"/>
      </w:pPr>
      <w:r w:rsidRPr="00D17D0C">
        <w:tab/>
        <w:t>(c)</w:t>
      </w:r>
      <w:r w:rsidRPr="00D17D0C">
        <w:tab/>
        <w:t>withdrawing money from the account.</w:t>
      </w:r>
    </w:p>
    <w:p w14:paraId="62175621" w14:textId="77777777" w:rsidR="00CE358E" w:rsidRPr="00D17D0C" w:rsidRDefault="00CE358E" w:rsidP="00D17D0C">
      <w:pPr>
        <w:pStyle w:val="aDef"/>
      </w:pPr>
      <w:r w:rsidRPr="00D17D0C">
        <w:rPr>
          <w:rStyle w:val="charBoldItals"/>
        </w:rPr>
        <w:t>transaction record</w:t>
      </w:r>
      <w:r w:rsidRPr="00D17D0C">
        <w:t>, for a betting account, means a document setting out the following information for each transaction made in relation to the account:</w:t>
      </w:r>
    </w:p>
    <w:p w14:paraId="34501DFC" w14:textId="77777777" w:rsidR="00CE358E" w:rsidRPr="00D17D0C" w:rsidRDefault="00CE358E" w:rsidP="00CE358E">
      <w:pPr>
        <w:pStyle w:val="Ipara"/>
      </w:pPr>
      <w:r w:rsidRPr="00D17D0C">
        <w:tab/>
        <w:t>(a)</w:t>
      </w:r>
      <w:r w:rsidRPr="00D17D0C">
        <w:tab/>
        <w:t>the kind of transaction;</w:t>
      </w:r>
    </w:p>
    <w:p w14:paraId="009B18E7" w14:textId="77777777" w:rsidR="00CE358E" w:rsidRPr="00D17D0C" w:rsidRDefault="00CE358E" w:rsidP="00CE358E">
      <w:pPr>
        <w:pStyle w:val="Ipara"/>
      </w:pPr>
      <w:r w:rsidRPr="00D17D0C">
        <w:tab/>
        <w:t>(b)</w:t>
      </w:r>
      <w:r w:rsidRPr="00D17D0C">
        <w:tab/>
        <w:t>the date of the transaction;</w:t>
      </w:r>
    </w:p>
    <w:p w14:paraId="59170CEA" w14:textId="77777777" w:rsidR="00CE358E" w:rsidRPr="00D17D0C" w:rsidRDefault="00CE358E" w:rsidP="00CE358E">
      <w:pPr>
        <w:pStyle w:val="Ipara"/>
      </w:pPr>
      <w:r w:rsidRPr="00D17D0C">
        <w:tab/>
        <w:t>(c)</w:t>
      </w:r>
      <w:r w:rsidRPr="00D17D0C">
        <w:tab/>
        <w:t>the amount of the transaction.</w:t>
      </w:r>
    </w:p>
    <w:p w14:paraId="64575349" w14:textId="00CF11CE" w:rsidR="00CE358E" w:rsidRPr="00D17D0C" w:rsidRDefault="00CE358E" w:rsidP="00373665">
      <w:pPr>
        <w:pStyle w:val="ISchclauseheading"/>
      </w:pPr>
      <w:r w:rsidRPr="00D17D0C">
        <w:t>1.20K</w:t>
      </w:r>
      <w:r w:rsidRPr="00D17D0C">
        <w:tab/>
        <w:t>Activity statements for betting accounts</w:t>
      </w:r>
    </w:p>
    <w:p w14:paraId="0522FA81" w14:textId="55EEAB5B" w:rsidR="00CE358E" w:rsidRPr="00D17D0C" w:rsidRDefault="00CE358E" w:rsidP="00373665">
      <w:pPr>
        <w:pStyle w:val="ISchMain"/>
      </w:pPr>
      <w:r w:rsidRPr="00D17D0C">
        <w:tab/>
        <w:t>(1)</w:t>
      </w:r>
      <w:r w:rsidRPr="00D17D0C">
        <w:tab/>
        <w:t xml:space="preserve">Each month, a licensee must give each person who holds a betting account with the licensee (an </w:t>
      </w:r>
      <w:r w:rsidRPr="00D17D0C">
        <w:rPr>
          <w:rStyle w:val="charBoldItals"/>
        </w:rPr>
        <w:t>account holder</w:t>
      </w:r>
      <w:r w:rsidRPr="00D17D0C">
        <w:t xml:space="preserve">) a document setting out any transactions made in relation to the account (an </w:t>
      </w:r>
      <w:r w:rsidRPr="00D17D0C">
        <w:rPr>
          <w:rStyle w:val="charBoldItals"/>
        </w:rPr>
        <w:t>activity statement</w:t>
      </w:r>
      <w:r w:rsidRPr="00D17D0C">
        <w:t>) for the month (the </w:t>
      </w:r>
      <w:r w:rsidRPr="00D17D0C">
        <w:rPr>
          <w:rStyle w:val="charBoldItals"/>
        </w:rPr>
        <w:t>statement period</w:t>
      </w:r>
      <w:r w:rsidRPr="00D17D0C">
        <w:t>).</w:t>
      </w:r>
    </w:p>
    <w:p w14:paraId="29F0D851" w14:textId="77777777" w:rsidR="00CE358E" w:rsidRPr="00D17D0C" w:rsidRDefault="00CE358E" w:rsidP="00461397">
      <w:pPr>
        <w:pStyle w:val="ISchMain"/>
        <w:keepNext/>
        <w:keepLines/>
      </w:pPr>
      <w:r w:rsidRPr="00D17D0C">
        <w:lastRenderedPageBreak/>
        <w:tab/>
        <w:t>(2)</w:t>
      </w:r>
      <w:r w:rsidRPr="00D17D0C">
        <w:tab/>
        <w:t>However, the licensee need not give an account holder an activity statement for a statement period if the account holder has not made any transactions in relation to the betting account during the statement period.</w:t>
      </w:r>
    </w:p>
    <w:p w14:paraId="17A770C6" w14:textId="74E71C32" w:rsidR="00CE358E" w:rsidRPr="00D17D0C" w:rsidRDefault="00CE358E" w:rsidP="00CE358E">
      <w:pPr>
        <w:pStyle w:val="aNote"/>
      </w:pPr>
      <w:r w:rsidRPr="00D17D0C">
        <w:rPr>
          <w:rStyle w:val="charItals"/>
        </w:rPr>
        <w:t>Note</w:t>
      </w:r>
      <w:r w:rsidRPr="00D17D0C">
        <w:rPr>
          <w:rStyle w:val="charItals"/>
        </w:rPr>
        <w:tab/>
      </w:r>
      <w:r w:rsidRPr="00D17D0C">
        <w:t>Despite s (2), an account holder may ask a licensee for an activity statement at any time (see s 1.20L).</w:t>
      </w:r>
    </w:p>
    <w:p w14:paraId="0D9E0B23" w14:textId="77777777" w:rsidR="00CE358E" w:rsidRPr="00D17D0C" w:rsidRDefault="00CE358E" w:rsidP="008E08BE">
      <w:pPr>
        <w:pStyle w:val="ISchMain"/>
      </w:pPr>
      <w:r w:rsidRPr="00D17D0C">
        <w:tab/>
        <w:t>(3)</w:t>
      </w:r>
      <w:r w:rsidRPr="00D17D0C">
        <w:tab/>
        <w:t>The licensee must give an account holder an activity statement—</w:t>
      </w:r>
    </w:p>
    <w:p w14:paraId="031E01D4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by email; or</w:t>
      </w:r>
    </w:p>
    <w:p w14:paraId="3138D9C3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if the account holder asks the licensee to provide the activity statement by mail—by mail.</w:t>
      </w:r>
    </w:p>
    <w:p w14:paraId="6D06ED13" w14:textId="77777777" w:rsidR="00CE358E" w:rsidRPr="00D17D0C" w:rsidRDefault="00CE358E" w:rsidP="008E08BE">
      <w:pPr>
        <w:pStyle w:val="ISchMain"/>
      </w:pPr>
      <w:r w:rsidRPr="00D17D0C">
        <w:tab/>
        <w:t>(4)</w:t>
      </w:r>
      <w:r w:rsidRPr="00D17D0C">
        <w:tab/>
        <w:t>The licensee must not charge a fee for giving an account holder an activity statement.</w:t>
      </w:r>
    </w:p>
    <w:p w14:paraId="3DC1DD93" w14:textId="77777777" w:rsidR="00CE358E" w:rsidRPr="00D17D0C" w:rsidRDefault="00CE358E" w:rsidP="008E08BE">
      <w:pPr>
        <w:pStyle w:val="ISchMain"/>
      </w:pPr>
      <w:r w:rsidRPr="00D17D0C">
        <w:tab/>
        <w:t>(5)</w:t>
      </w:r>
      <w:r w:rsidRPr="00D17D0C">
        <w:tab/>
        <w:t>However, if an account holder asks for an activity statement to be provided by mail, the licensee may charge the account holder a fee of not more than the cost of the postage.</w:t>
      </w:r>
    </w:p>
    <w:p w14:paraId="515E2AFD" w14:textId="77777777" w:rsidR="00CE358E" w:rsidRPr="00D17D0C" w:rsidRDefault="00CE358E" w:rsidP="00CE358E">
      <w:pPr>
        <w:pStyle w:val="IH5Sec"/>
      </w:pPr>
      <w:r w:rsidRPr="00D17D0C">
        <w:t>1.20L</w:t>
      </w:r>
      <w:r w:rsidRPr="00D17D0C">
        <w:tab/>
        <w:t>Requests for activity statements</w:t>
      </w:r>
    </w:p>
    <w:p w14:paraId="24A41CE7" w14:textId="77777777" w:rsidR="00CE358E" w:rsidRPr="00D17D0C" w:rsidRDefault="00CE358E" w:rsidP="008E08BE">
      <w:pPr>
        <w:pStyle w:val="ISchMain"/>
      </w:pPr>
      <w:r w:rsidRPr="00D17D0C">
        <w:tab/>
        <w:t>(1)</w:t>
      </w:r>
      <w:r w:rsidRPr="00D17D0C">
        <w:tab/>
        <w:t>Despite section 1.20K (2), an account holder may, at any time, ask a licensee to give the account holder an activity statement for the account holder’s betting account for any statement period—</w:t>
      </w:r>
    </w:p>
    <w:p w14:paraId="46F5A076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within the last 7 years; or</w:t>
      </w:r>
    </w:p>
    <w:p w14:paraId="5819A0D6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if the account has been open for less than 7 years—since the account was opened.</w:t>
      </w:r>
    </w:p>
    <w:p w14:paraId="6A3C2701" w14:textId="77777777" w:rsidR="00CE358E" w:rsidRPr="00D17D0C" w:rsidRDefault="00CE358E" w:rsidP="008E08BE">
      <w:pPr>
        <w:pStyle w:val="ISchMain"/>
      </w:pPr>
      <w:r w:rsidRPr="00D17D0C">
        <w:tab/>
        <w:t>(2)</w:t>
      </w:r>
      <w:r w:rsidRPr="00D17D0C">
        <w:tab/>
        <w:t>An account holder may make a request under subsection (1)—</w:t>
      </w:r>
    </w:p>
    <w:p w14:paraId="20B13578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by email; or</w:t>
      </w:r>
    </w:p>
    <w:p w14:paraId="495D09D8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by telephone; or</w:t>
      </w:r>
    </w:p>
    <w:p w14:paraId="114F87BA" w14:textId="77777777" w:rsidR="00CE358E" w:rsidRPr="00D17D0C" w:rsidRDefault="00CE358E" w:rsidP="008E08BE">
      <w:pPr>
        <w:pStyle w:val="ISchpara"/>
      </w:pPr>
      <w:r w:rsidRPr="00D17D0C">
        <w:tab/>
        <w:t>(c)</w:t>
      </w:r>
      <w:r w:rsidRPr="00D17D0C">
        <w:tab/>
        <w:t>for an online betting account—through the account.</w:t>
      </w:r>
    </w:p>
    <w:p w14:paraId="33169F65" w14:textId="77777777" w:rsidR="00CE358E" w:rsidRPr="00D17D0C" w:rsidRDefault="00CE358E" w:rsidP="008E08BE">
      <w:pPr>
        <w:pStyle w:val="ISchMain"/>
      </w:pPr>
      <w:r w:rsidRPr="00D17D0C">
        <w:lastRenderedPageBreak/>
        <w:tab/>
        <w:t>(3)</w:t>
      </w:r>
      <w:r w:rsidRPr="00D17D0C">
        <w:tab/>
        <w:t>A licensee must, as soon as practicable after the licensee receives a request under subsection (1), give the account holder the activity statement, and the accompanying transaction record, in the way requested by the account holder.</w:t>
      </w:r>
    </w:p>
    <w:p w14:paraId="05EDC1B5" w14:textId="77777777" w:rsidR="00CE358E" w:rsidRPr="00D17D0C" w:rsidRDefault="00CE358E" w:rsidP="00CE358E">
      <w:pPr>
        <w:pStyle w:val="aExamHdgss"/>
      </w:pPr>
      <w:r w:rsidRPr="00D17D0C">
        <w:t>Example—in the way requested</w:t>
      </w:r>
    </w:p>
    <w:p w14:paraId="0D2CF255" w14:textId="77777777" w:rsidR="00CE358E" w:rsidRPr="00D17D0C" w:rsidRDefault="00CE358E" w:rsidP="00CE358E">
      <w:pPr>
        <w:pStyle w:val="aExamss"/>
      </w:pPr>
      <w:r w:rsidRPr="00D17D0C">
        <w:t>an account holder asks a licensee to provide an activity statement by mail</w:t>
      </w:r>
    </w:p>
    <w:p w14:paraId="1059557D" w14:textId="77777777" w:rsidR="00CE358E" w:rsidRPr="00D17D0C" w:rsidRDefault="00CE358E" w:rsidP="008E08BE">
      <w:pPr>
        <w:pStyle w:val="ISchMain"/>
      </w:pPr>
      <w:r w:rsidRPr="00D17D0C">
        <w:tab/>
        <w:t>(4)</w:t>
      </w:r>
      <w:r w:rsidRPr="00D17D0C">
        <w:tab/>
        <w:t>In this section:</w:t>
      </w:r>
    </w:p>
    <w:p w14:paraId="4E314F23" w14:textId="77777777" w:rsidR="00CE358E" w:rsidRPr="00D17D0C" w:rsidRDefault="00CE358E" w:rsidP="00D17D0C">
      <w:pPr>
        <w:pStyle w:val="aDef"/>
      </w:pPr>
      <w:r w:rsidRPr="00D17D0C">
        <w:rPr>
          <w:rStyle w:val="charBoldItals"/>
        </w:rPr>
        <w:t>account holder</w:t>
      </w:r>
      <w:r w:rsidRPr="00D17D0C">
        <w:rPr>
          <w:bCs/>
          <w:iCs/>
        </w:rPr>
        <w:t xml:space="preserve"> includes a person who previously held a betting account with a licensee that is now closed.</w:t>
      </w:r>
    </w:p>
    <w:p w14:paraId="54B5CA6E" w14:textId="77777777" w:rsidR="00CE358E" w:rsidRPr="00D17D0C" w:rsidRDefault="00CE358E" w:rsidP="00CE358E">
      <w:pPr>
        <w:pStyle w:val="IH5Sec"/>
      </w:pPr>
      <w:r w:rsidRPr="00D17D0C">
        <w:t>1.20M</w:t>
      </w:r>
      <w:r w:rsidRPr="00D17D0C">
        <w:tab/>
        <w:t>Contents of activity statements</w:t>
      </w:r>
    </w:p>
    <w:p w14:paraId="5D23BA32" w14:textId="77777777" w:rsidR="00CE358E" w:rsidRPr="00D17D0C" w:rsidRDefault="00CE358E" w:rsidP="008E08BE">
      <w:pPr>
        <w:pStyle w:val="ISchMain"/>
      </w:pPr>
      <w:r w:rsidRPr="00D17D0C">
        <w:tab/>
        <w:t>(1)</w:t>
      </w:r>
      <w:r w:rsidRPr="00D17D0C">
        <w:tab/>
        <w:t>An activity statement for a betting account for a statement period must include the following information:</w:t>
      </w:r>
    </w:p>
    <w:p w14:paraId="3EAB0102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the opening and closing balances of the account for the period;</w:t>
      </w:r>
    </w:p>
    <w:p w14:paraId="41527255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the total amount spent on betting during the period;</w:t>
      </w:r>
    </w:p>
    <w:p w14:paraId="12F90118" w14:textId="77777777" w:rsidR="00CE358E" w:rsidRPr="00D17D0C" w:rsidRDefault="00CE358E" w:rsidP="008E08BE">
      <w:pPr>
        <w:pStyle w:val="ISchpara"/>
      </w:pPr>
      <w:r w:rsidRPr="00D17D0C">
        <w:tab/>
        <w:t>(c)</w:t>
      </w:r>
      <w:r w:rsidRPr="00D17D0C">
        <w:tab/>
        <w:t>the number of bets made using the account during the period;</w:t>
      </w:r>
    </w:p>
    <w:p w14:paraId="75ABC3DE" w14:textId="77777777" w:rsidR="00CE358E" w:rsidRPr="00D17D0C" w:rsidRDefault="00CE358E" w:rsidP="008E08BE">
      <w:pPr>
        <w:pStyle w:val="ISchpara"/>
      </w:pPr>
      <w:r w:rsidRPr="00D17D0C">
        <w:tab/>
        <w:t>(d)</w:t>
      </w:r>
      <w:r w:rsidRPr="00D17D0C">
        <w:tab/>
        <w:t>the number of winning bets settled using the account during the period;</w:t>
      </w:r>
    </w:p>
    <w:p w14:paraId="598606CB" w14:textId="77777777" w:rsidR="00CE358E" w:rsidRPr="00D17D0C" w:rsidRDefault="00CE358E" w:rsidP="008E08BE">
      <w:pPr>
        <w:pStyle w:val="ISchpara"/>
      </w:pPr>
      <w:r w:rsidRPr="00D17D0C">
        <w:tab/>
        <w:t>(e)</w:t>
      </w:r>
      <w:r w:rsidRPr="00D17D0C">
        <w:tab/>
        <w:t>the number of losing bets settled using the account during the period;</w:t>
      </w:r>
    </w:p>
    <w:p w14:paraId="05BF905D" w14:textId="77777777" w:rsidR="00CE358E" w:rsidRPr="00D17D0C" w:rsidRDefault="00CE358E" w:rsidP="008E08BE">
      <w:pPr>
        <w:pStyle w:val="ISchpara"/>
      </w:pPr>
      <w:r w:rsidRPr="00D17D0C">
        <w:tab/>
        <w:t>(f)</w:t>
      </w:r>
      <w:r w:rsidRPr="00D17D0C">
        <w:tab/>
        <w:t>the net amount spent on, or gained from, betting, taking into account all wins and losses, during the period;</w:t>
      </w:r>
    </w:p>
    <w:p w14:paraId="2111E181" w14:textId="77777777" w:rsidR="00CE358E" w:rsidRPr="00D17D0C" w:rsidRDefault="00CE358E" w:rsidP="008E08BE">
      <w:pPr>
        <w:pStyle w:val="ISchpara"/>
      </w:pPr>
      <w:r w:rsidRPr="00D17D0C">
        <w:tab/>
        <w:t>(g)</w:t>
      </w:r>
      <w:r w:rsidRPr="00D17D0C">
        <w:tab/>
        <w:t>any amounts deposited into, or withdrawn from, the account for the period;</w:t>
      </w:r>
    </w:p>
    <w:p w14:paraId="4604E1A9" w14:textId="77777777" w:rsidR="00CE358E" w:rsidRPr="00D17D0C" w:rsidRDefault="00CE358E" w:rsidP="008E08BE">
      <w:pPr>
        <w:pStyle w:val="ISchpara"/>
      </w:pPr>
      <w:r w:rsidRPr="00D17D0C">
        <w:tab/>
        <w:t>(h)</w:t>
      </w:r>
      <w:r w:rsidRPr="00D17D0C">
        <w:tab/>
        <w:t>a column graph comparing the total amount spent on betting with the net amount spent on, or gained from, betting for—</w:t>
      </w:r>
    </w:p>
    <w:p w14:paraId="4451FB64" w14:textId="77777777" w:rsidR="00CE358E" w:rsidRPr="00D17D0C" w:rsidRDefault="00CE358E" w:rsidP="008E08BE">
      <w:pPr>
        <w:pStyle w:val="ISchsubpara"/>
      </w:pPr>
      <w:r w:rsidRPr="00D17D0C">
        <w:tab/>
        <w:t>(i)</w:t>
      </w:r>
      <w:r w:rsidRPr="00D17D0C">
        <w:tab/>
        <w:t xml:space="preserve">the period, and </w:t>
      </w:r>
    </w:p>
    <w:p w14:paraId="182613DB" w14:textId="77777777" w:rsidR="00CE358E" w:rsidRPr="00D17D0C" w:rsidRDefault="00CE358E" w:rsidP="008E08BE">
      <w:pPr>
        <w:pStyle w:val="ISchsubpara"/>
      </w:pPr>
      <w:r w:rsidRPr="00D17D0C">
        <w:tab/>
        <w:t>(ii)</w:t>
      </w:r>
      <w:r w:rsidRPr="00D17D0C">
        <w:tab/>
        <w:t>each of the 5 previous activity statement periods; and</w:t>
      </w:r>
    </w:p>
    <w:p w14:paraId="07D47AF3" w14:textId="77777777" w:rsidR="00CE358E" w:rsidRPr="00D17D0C" w:rsidRDefault="00CE358E" w:rsidP="008E08BE">
      <w:pPr>
        <w:pStyle w:val="ISchsubpara"/>
      </w:pPr>
      <w:r w:rsidRPr="00D17D0C">
        <w:lastRenderedPageBreak/>
        <w:tab/>
        <w:t>(iii)</w:t>
      </w:r>
      <w:r w:rsidRPr="00D17D0C">
        <w:tab/>
        <w:t xml:space="preserve">the same statement period in the previous year; </w:t>
      </w:r>
    </w:p>
    <w:p w14:paraId="7D7D6D34" w14:textId="77777777" w:rsidR="00CE358E" w:rsidRPr="00D17D0C" w:rsidRDefault="00CE358E" w:rsidP="008E08BE">
      <w:pPr>
        <w:pStyle w:val="ISchpara"/>
      </w:pPr>
      <w:r w:rsidRPr="00D17D0C">
        <w:tab/>
        <w:t>(i)</w:t>
      </w:r>
      <w:r w:rsidRPr="00D17D0C">
        <w:tab/>
        <w:t>information about support services available to gamblers, including websites for the services.</w:t>
      </w:r>
    </w:p>
    <w:p w14:paraId="4FD3552E" w14:textId="77777777" w:rsidR="00CE358E" w:rsidRPr="00D17D0C" w:rsidRDefault="00CE358E" w:rsidP="008E08BE">
      <w:pPr>
        <w:pStyle w:val="ISchMain"/>
      </w:pPr>
      <w:r w:rsidRPr="00D17D0C">
        <w:tab/>
        <w:t>(2)</w:t>
      </w:r>
      <w:r w:rsidRPr="00D17D0C">
        <w:tab/>
        <w:t>An activity statement must be accompanied by—</w:t>
      </w:r>
    </w:p>
    <w:p w14:paraId="7977B820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if the activity statement is provided electronically—an online link to a transaction record for the betting account for the statement period; or</w:t>
      </w:r>
    </w:p>
    <w:p w14:paraId="00DF8B7B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if the account holder asked the licensee to provide the activity statement by mail—a paper copy of the transaction record.</w:t>
      </w:r>
    </w:p>
    <w:p w14:paraId="1AF697DF" w14:textId="77777777" w:rsidR="00CE358E" w:rsidRPr="00D17D0C" w:rsidRDefault="00CE358E" w:rsidP="008E08BE">
      <w:pPr>
        <w:pStyle w:val="ISchMain"/>
      </w:pPr>
      <w:r w:rsidRPr="00D17D0C">
        <w:tab/>
        <w:t>(3)</w:t>
      </w:r>
      <w:r w:rsidRPr="00D17D0C">
        <w:tab/>
        <w:t>An activity statement must not include—</w:t>
      </w:r>
    </w:p>
    <w:p w14:paraId="012D039C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any direct marketing or other advertising, promotion or offer from the licensee; or</w:t>
      </w:r>
    </w:p>
    <w:p w14:paraId="36F01C20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any information mentioned in subsection (1) in relation to making or settling a bonus bet.</w:t>
      </w:r>
    </w:p>
    <w:p w14:paraId="3473CC69" w14:textId="77777777" w:rsidR="00CE358E" w:rsidRPr="00D17D0C" w:rsidRDefault="00CE358E" w:rsidP="00CE358E">
      <w:pPr>
        <w:pStyle w:val="IH5Sec"/>
      </w:pPr>
      <w:r w:rsidRPr="00D17D0C">
        <w:t>1.20N</w:t>
      </w:r>
      <w:r w:rsidRPr="00D17D0C">
        <w:tab/>
        <w:t>Form of activity statements</w:t>
      </w:r>
    </w:p>
    <w:p w14:paraId="59759822" w14:textId="77777777" w:rsidR="00CE358E" w:rsidRPr="00D17D0C" w:rsidRDefault="00CE358E" w:rsidP="008E08BE">
      <w:pPr>
        <w:pStyle w:val="ISchMain"/>
      </w:pPr>
      <w:r w:rsidRPr="00D17D0C">
        <w:tab/>
        <w:t>(1)</w:t>
      </w:r>
      <w:r w:rsidRPr="00D17D0C">
        <w:tab/>
        <w:t>An activity statement must be—</w:t>
      </w:r>
    </w:p>
    <w:p w14:paraId="0F5A2ED7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in writing; and</w:t>
      </w:r>
    </w:p>
    <w:p w14:paraId="11C3A375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simple and easy for an account holder to read.</w:t>
      </w:r>
    </w:p>
    <w:p w14:paraId="19627F92" w14:textId="77777777" w:rsidR="00CE358E" w:rsidRPr="00D17D0C" w:rsidRDefault="00CE358E" w:rsidP="008E08BE">
      <w:pPr>
        <w:pStyle w:val="ISchMain"/>
      </w:pPr>
      <w:r w:rsidRPr="00D17D0C">
        <w:tab/>
        <w:t>(2)</w:t>
      </w:r>
      <w:r w:rsidRPr="00D17D0C">
        <w:tab/>
        <w:t>An activity statement for a betting account—</w:t>
      </w:r>
    </w:p>
    <w:p w14:paraId="72C4C320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must set out the following information in legible black text on a white background:</w:t>
      </w:r>
    </w:p>
    <w:p w14:paraId="017EA095" w14:textId="77777777" w:rsidR="00CE358E" w:rsidRPr="00D17D0C" w:rsidRDefault="00CE358E" w:rsidP="008E08BE">
      <w:pPr>
        <w:pStyle w:val="ISchsubpara"/>
      </w:pPr>
      <w:r w:rsidRPr="00D17D0C">
        <w:tab/>
        <w:t>(i)</w:t>
      </w:r>
      <w:r w:rsidRPr="00D17D0C">
        <w:tab/>
        <w:t>the number of winning bets;</w:t>
      </w:r>
    </w:p>
    <w:p w14:paraId="71E334A4" w14:textId="77777777" w:rsidR="00CE358E" w:rsidRPr="00D17D0C" w:rsidRDefault="00CE358E" w:rsidP="008E08BE">
      <w:pPr>
        <w:pStyle w:val="ISchsubpara"/>
      </w:pPr>
      <w:r w:rsidRPr="00D17D0C">
        <w:tab/>
        <w:t>(ii)</w:t>
      </w:r>
      <w:r w:rsidRPr="00D17D0C">
        <w:tab/>
        <w:t>the net amount gained from betting; and</w:t>
      </w:r>
    </w:p>
    <w:p w14:paraId="3467607B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must set out the following information in legible red text on a white background:</w:t>
      </w:r>
    </w:p>
    <w:p w14:paraId="7CED1916" w14:textId="48E0014D" w:rsidR="00CE358E" w:rsidRPr="00D17D0C" w:rsidRDefault="00CE358E" w:rsidP="008E08BE">
      <w:pPr>
        <w:pStyle w:val="ISchsubpara"/>
      </w:pPr>
      <w:r w:rsidRPr="00D17D0C">
        <w:tab/>
        <w:t>(i)</w:t>
      </w:r>
      <w:r w:rsidRPr="00D17D0C">
        <w:tab/>
        <w:t>the number of losing bets;</w:t>
      </w:r>
    </w:p>
    <w:p w14:paraId="2EE848FE" w14:textId="77777777" w:rsidR="00CE358E" w:rsidRPr="00D17D0C" w:rsidRDefault="00CE358E" w:rsidP="008E08BE">
      <w:pPr>
        <w:pStyle w:val="ISchsubpara"/>
      </w:pPr>
      <w:r w:rsidRPr="00D17D0C">
        <w:lastRenderedPageBreak/>
        <w:tab/>
        <w:t>(ii)</w:t>
      </w:r>
      <w:r w:rsidRPr="00D17D0C">
        <w:tab/>
        <w:t xml:space="preserve">the net amount spent on betting; </w:t>
      </w:r>
    </w:p>
    <w:p w14:paraId="2045169C" w14:textId="77777777" w:rsidR="00CE358E" w:rsidRPr="00D17D0C" w:rsidRDefault="00CE358E" w:rsidP="008E08BE">
      <w:pPr>
        <w:pStyle w:val="ISchsubpara"/>
      </w:pPr>
      <w:r w:rsidRPr="00D17D0C">
        <w:tab/>
        <w:t>(iii)</w:t>
      </w:r>
      <w:r w:rsidRPr="00D17D0C">
        <w:tab/>
        <w:t>the total amount spent on betting; and</w:t>
      </w:r>
    </w:p>
    <w:p w14:paraId="15812C73" w14:textId="77777777" w:rsidR="00CE358E" w:rsidRPr="00D17D0C" w:rsidRDefault="00CE358E" w:rsidP="008E08BE">
      <w:pPr>
        <w:pStyle w:val="ISchpara"/>
      </w:pPr>
      <w:r w:rsidRPr="00D17D0C">
        <w:tab/>
        <w:t>(c)</w:t>
      </w:r>
      <w:r w:rsidRPr="00D17D0C">
        <w:tab/>
        <w:t>must not set out any information in green text.</w:t>
      </w:r>
    </w:p>
    <w:p w14:paraId="17930016" w14:textId="77777777" w:rsidR="00CE358E" w:rsidRPr="00D17D0C" w:rsidRDefault="00CE358E" w:rsidP="00CE358E">
      <w:pPr>
        <w:pStyle w:val="IH5Sec"/>
      </w:pPr>
      <w:r w:rsidRPr="00D17D0C">
        <w:t>1.20O</w:t>
      </w:r>
      <w:r w:rsidRPr="00D17D0C">
        <w:tab/>
        <w:t>Access to activity statements and transaction records for online betting accounts</w:t>
      </w:r>
    </w:p>
    <w:p w14:paraId="7D770A54" w14:textId="77777777" w:rsidR="00CE358E" w:rsidRPr="00D17D0C" w:rsidRDefault="00CE358E" w:rsidP="008E08BE">
      <w:pPr>
        <w:pStyle w:val="ISchMain"/>
      </w:pPr>
      <w:r w:rsidRPr="00D17D0C">
        <w:tab/>
        <w:t>(1)</w:t>
      </w:r>
      <w:r w:rsidRPr="00D17D0C">
        <w:tab/>
        <w:t>This section applies if an account holder holds an online betting account with a licensee.</w:t>
      </w:r>
    </w:p>
    <w:p w14:paraId="5AD43D83" w14:textId="77777777" w:rsidR="00CE358E" w:rsidRPr="00D17D0C" w:rsidRDefault="00CE358E" w:rsidP="008E08BE">
      <w:pPr>
        <w:pStyle w:val="ISchMain"/>
      </w:pPr>
      <w:r w:rsidRPr="00D17D0C">
        <w:tab/>
        <w:t>(2)</w:t>
      </w:r>
      <w:r w:rsidRPr="00D17D0C">
        <w:tab/>
        <w:t>The licensee must ensure that the account holder can access, through the online betting account, all activity statements and transaction records for the account for each active statement period—</w:t>
      </w:r>
    </w:p>
    <w:p w14:paraId="1B48B451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within the last 7 years; or</w:t>
      </w:r>
    </w:p>
    <w:p w14:paraId="4F3A4637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if the account has been open for less than 7 years—since the account was opened.</w:t>
      </w:r>
    </w:p>
    <w:p w14:paraId="09A48E11" w14:textId="77777777" w:rsidR="00CE358E" w:rsidRPr="00D17D0C" w:rsidRDefault="00CE358E" w:rsidP="008E08BE">
      <w:pPr>
        <w:pStyle w:val="ISchMain"/>
      </w:pPr>
      <w:r w:rsidRPr="00D17D0C">
        <w:tab/>
        <w:t>(3)</w:t>
      </w:r>
      <w:r w:rsidRPr="00D17D0C">
        <w:tab/>
        <w:t>In this section:</w:t>
      </w:r>
    </w:p>
    <w:p w14:paraId="2E7DBC05" w14:textId="77777777" w:rsidR="00A11773" w:rsidRPr="00D17D0C" w:rsidRDefault="00A11773" w:rsidP="00D17D0C">
      <w:pPr>
        <w:pStyle w:val="aDef"/>
      </w:pPr>
      <w:r w:rsidRPr="00D17D0C">
        <w:rPr>
          <w:rStyle w:val="charBoldItals"/>
        </w:rPr>
        <w:t>account holder</w:t>
      </w:r>
      <w:r w:rsidRPr="00D17D0C">
        <w:rPr>
          <w:bCs/>
          <w:iCs/>
        </w:rPr>
        <w:t xml:space="preserve"> includes a person who previously held a betting account with a licensee that is now closed.</w:t>
      </w:r>
    </w:p>
    <w:p w14:paraId="08EACCBD" w14:textId="77777777" w:rsidR="00CE358E" w:rsidRPr="00D17D0C" w:rsidRDefault="00CE358E" w:rsidP="00D17D0C">
      <w:pPr>
        <w:pStyle w:val="aDef"/>
      </w:pPr>
      <w:r w:rsidRPr="00D17D0C">
        <w:rPr>
          <w:rStyle w:val="charBoldItals"/>
        </w:rPr>
        <w:t>active statement period</w:t>
      </w:r>
      <w:r w:rsidRPr="00D17D0C">
        <w:rPr>
          <w:bCs/>
          <w:iCs/>
        </w:rPr>
        <w:t xml:space="preserve">, for a betting account, means </w:t>
      </w:r>
      <w:r w:rsidRPr="00D17D0C">
        <w:t>a statement period during which the account holder made at least 1 transaction in relation to the betting account.</w:t>
      </w:r>
    </w:p>
    <w:p w14:paraId="32BD28BB" w14:textId="77777777" w:rsidR="00CE358E" w:rsidRPr="00D17D0C" w:rsidRDefault="00CE358E" w:rsidP="00CE358E">
      <w:pPr>
        <w:pStyle w:val="IH5Sec"/>
      </w:pPr>
      <w:r w:rsidRPr="00D17D0C">
        <w:t>1.20P</w:t>
      </w:r>
      <w:r w:rsidRPr="00D17D0C">
        <w:tab/>
        <w:t>Requests for transaction records for accounts other than online betting accounts</w:t>
      </w:r>
    </w:p>
    <w:p w14:paraId="1DD05F02" w14:textId="77777777" w:rsidR="00CE358E" w:rsidRPr="00D17D0C" w:rsidRDefault="00CE358E" w:rsidP="008E08BE">
      <w:pPr>
        <w:pStyle w:val="ISchMain"/>
      </w:pPr>
      <w:r w:rsidRPr="00D17D0C">
        <w:tab/>
        <w:t>(1)</w:t>
      </w:r>
      <w:r w:rsidRPr="00D17D0C">
        <w:tab/>
        <w:t>This section applies if—</w:t>
      </w:r>
    </w:p>
    <w:p w14:paraId="5DD997BB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an account holder holds a betting account with a licensee; and</w:t>
      </w:r>
    </w:p>
    <w:p w14:paraId="7F9ED020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the account is not an online betting account.</w:t>
      </w:r>
    </w:p>
    <w:p w14:paraId="0AA34ABF" w14:textId="77777777" w:rsidR="00CE358E" w:rsidRPr="00D17D0C" w:rsidRDefault="00CE358E" w:rsidP="008E08BE">
      <w:pPr>
        <w:pStyle w:val="ISchMain"/>
      </w:pPr>
      <w:r w:rsidRPr="00D17D0C">
        <w:lastRenderedPageBreak/>
        <w:tab/>
        <w:t>(2)</w:t>
      </w:r>
      <w:r w:rsidRPr="00D17D0C">
        <w:tab/>
        <w:t>The account holder may, at any time, ask the licensee to give the account holder a transaction record for the betting account for any statement period—</w:t>
      </w:r>
    </w:p>
    <w:p w14:paraId="35774340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within the last 7 years; or</w:t>
      </w:r>
    </w:p>
    <w:p w14:paraId="3B5BBB21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if the account has been open for less than 7 years—since the account was opened.</w:t>
      </w:r>
    </w:p>
    <w:p w14:paraId="4926A267" w14:textId="77777777" w:rsidR="00CE358E" w:rsidRPr="00D17D0C" w:rsidRDefault="00CE358E" w:rsidP="008E08BE">
      <w:pPr>
        <w:pStyle w:val="ISchMain"/>
      </w:pPr>
      <w:r w:rsidRPr="00D17D0C">
        <w:tab/>
        <w:t>(3)</w:t>
      </w:r>
      <w:r w:rsidRPr="00D17D0C">
        <w:tab/>
        <w:t>An account holder may make a request under subsection (2)—</w:t>
      </w:r>
    </w:p>
    <w:p w14:paraId="6A3112D8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by email; or</w:t>
      </w:r>
    </w:p>
    <w:p w14:paraId="77ACE8F8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by telephone.</w:t>
      </w:r>
    </w:p>
    <w:p w14:paraId="3F725FA4" w14:textId="51177B4E" w:rsidR="00CE358E" w:rsidRPr="00D17D0C" w:rsidRDefault="00CE358E" w:rsidP="008E08BE">
      <w:pPr>
        <w:pStyle w:val="ISchMain"/>
      </w:pPr>
      <w:r w:rsidRPr="00D17D0C">
        <w:tab/>
        <w:t>(4)</w:t>
      </w:r>
      <w:r w:rsidRPr="00D17D0C">
        <w:tab/>
        <w:t>A licensee must, within 14 days after the licensee receives a request under subsection</w:t>
      </w:r>
      <w:r w:rsidR="002A0D87" w:rsidRPr="00D17D0C">
        <w:t xml:space="preserve"> </w:t>
      </w:r>
      <w:r w:rsidRPr="00D17D0C">
        <w:t>(2), give the account holder the transaction record in the way requested by the account holder.</w:t>
      </w:r>
    </w:p>
    <w:p w14:paraId="21CBDFA3" w14:textId="77777777" w:rsidR="00CE358E" w:rsidRPr="00D17D0C" w:rsidRDefault="00CE358E" w:rsidP="00CE358E">
      <w:pPr>
        <w:pStyle w:val="aExamHdgss"/>
      </w:pPr>
      <w:r w:rsidRPr="00D17D0C">
        <w:t>Example—in the way requested</w:t>
      </w:r>
    </w:p>
    <w:p w14:paraId="254F2784" w14:textId="77777777" w:rsidR="00CE358E" w:rsidRPr="00D17D0C" w:rsidRDefault="00CE358E" w:rsidP="00CE358E">
      <w:pPr>
        <w:pStyle w:val="aExamss"/>
      </w:pPr>
      <w:r w:rsidRPr="00D17D0C">
        <w:t>an account holder asks a licensee to provide a transaction record by mail</w:t>
      </w:r>
    </w:p>
    <w:p w14:paraId="68ABA860" w14:textId="77777777" w:rsidR="00CE358E" w:rsidRPr="00D17D0C" w:rsidRDefault="00CE358E" w:rsidP="00512FF3">
      <w:pPr>
        <w:pStyle w:val="ISchMain"/>
        <w:keepNext/>
      </w:pPr>
      <w:r w:rsidRPr="00D17D0C">
        <w:tab/>
        <w:t>(5)</w:t>
      </w:r>
      <w:r w:rsidRPr="00D17D0C">
        <w:tab/>
        <w:t>In this section:</w:t>
      </w:r>
    </w:p>
    <w:p w14:paraId="1C675846" w14:textId="77777777" w:rsidR="00CE358E" w:rsidRPr="00D17D0C" w:rsidRDefault="00CE358E" w:rsidP="00D17D0C">
      <w:pPr>
        <w:pStyle w:val="aDef"/>
        <w:keepNext/>
      </w:pPr>
      <w:r w:rsidRPr="00D17D0C">
        <w:rPr>
          <w:rStyle w:val="charBoldItals"/>
        </w:rPr>
        <w:t>account holder</w:t>
      </w:r>
      <w:r w:rsidRPr="00D17D0C">
        <w:rPr>
          <w:bCs/>
          <w:iCs/>
        </w:rPr>
        <w:t xml:space="preserve"> includes a person who previously held a betting account with a licensee that is now closed.</w:t>
      </w:r>
    </w:p>
    <w:p w14:paraId="43B23066" w14:textId="323E71F3" w:rsidR="00CE358E" w:rsidRPr="00D17D0C" w:rsidRDefault="00CE358E" w:rsidP="00CE358E">
      <w:pPr>
        <w:pStyle w:val="IH5Sec"/>
      </w:pPr>
      <w:r w:rsidRPr="00D17D0C">
        <w:t>1.20Q</w:t>
      </w:r>
      <w:r w:rsidRPr="00D17D0C">
        <w:tab/>
      </w:r>
      <w:r w:rsidR="00D631C6" w:rsidRPr="00D17D0C">
        <w:t>A</w:t>
      </w:r>
      <w:r w:rsidRPr="00D17D0C">
        <w:t xml:space="preserve">ccess </w:t>
      </w:r>
      <w:r w:rsidR="00D631C6" w:rsidRPr="00D17D0C">
        <w:t xml:space="preserve">to electronic </w:t>
      </w:r>
      <w:r w:rsidRPr="00D17D0C">
        <w:t>activity statements</w:t>
      </w:r>
    </w:p>
    <w:p w14:paraId="25F79106" w14:textId="77777777" w:rsidR="00CE358E" w:rsidRPr="00D17D0C" w:rsidRDefault="00CE358E" w:rsidP="008E08BE">
      <w:pPr>
        <w:pStyle w:val="ISchMain"/>
      </w:pPr>
      <w:r w:rsidRPr="00D17D0C">
        <w:tab/>
        <w:t>(1)</w:t>
      </w:r>
      <w:r w:rsidRPr="00D17D0C">
        <w:tab/>
        <w:t>This section applies if a licensee gives an account holder an activity statement—</w:t>
      </w:r>
    </w:p>
    <w:p w14:paraId="25835019" w14:textId="77777777" w:rsidR="00CE358E" w:rsidRPr="00D17D0C" w:rsidRDefault="00CE358E" w:rsidP="008E08BE">
      <w:pPr>
        <w:pStyle w:val="ISchpara"/>
      </w:pPr>
      <w:r w:rsidRPr="00D17D0C">
        <w:tab/>
        <w:t>(a)</w:t>
      </w:r>
      <w:r w:rsidRPr="00D17D0C">
        <w:tab/>
        <w:t>by email; or</w:t>
      </w:r>
    </w:p>
    <w:p w14:paraId="39A49C69" w14:textId="77777777" w:rsidR="00CE358E" w:rsidRPr="00D17D0C" w:rsidRDefault="00CE358E" w:rsidP="008E08BE">
      <w:pPr>
        <w:pStyle w:val="ISchpara"/>
      </w:pPr>
      <w:r w:rsidRPr="00D17D0C">
        <w:tab/>
        <w:t>(b)</w:t>
      </w:r>
      <w:r w:rsidRPr="00D17D0C">
        <w:tab/>
        <w:t>through an online betting account.</w:t>
      </w:r>
    </w:p>
    <w:p w14:paraId="7B112D00" w14:textId="317EBC56" w:rsidR="00CE358E" w:rsidRPr="00D17D0C" w:rsidRDefault="00CE358E" w:rsidP="00461397">
      <w:pPr>
        <w:pStyle w:val="ISchMain"/>
        <w:keepNext/>
        <w:keepLines/>
      </w:pPr>
      <w:r w:rsidRPr="00D17D0C">
        <w:lastRenderedPageBreak/>
        <w:tab/>
        <w:t>(2)</w:t>
      </w:r>
      <w:r w:rsidRPr="00D17D0C">
        <w:tab/>
        <w:t>The licensee must ensure the account holder can access the activity statement without needing to use any kind of security measure</w:t>
      </w:r>
      <w:r w:rsidR="00AA2F82" w:rsidRPr="00D17D0C">
        <w:t>, other than a security measure used to access the account holder’s email account or online betting account</w:t>
      </w:r>
      <w:r w:rsidRPr="00D17D0C">
        <w:t>.</w:t>
      </w:r>
    </w:p>
    <w:p w14:paraId="5CF8566E" w14:textId="0E24C820" w:rsidR="00CE358E" w:rsidRPr="00D17D0C" w:rsidRDefault="00CE358E" w:rsidP="00CE358E">
      <w:pPr>
        <w:pStyle w:val="aExamHdgss"/>
      </w:pPr>
      <w:r w:rsidRPr="00D17D0C">
        <w:t>Example</w:t>
      </w:r>
      <w:r w:rsidR="00AA2F82" w:rsidRPr="00D17D0C">
        <w:t>—security measure</w:t>
      </w:r>
    </w:p>
    <w:p w14:paraId="3E18967F" w14:textId="36725025" w:rsidR="00CE358E" w:rsidRPr="00D17D0C" w:rsidRDefault="009F7D15" w:rsidP="00CE358E">
      <w:pPr>
        <w:pStyle w:val="aExamss"/>
      </w:pPr>
      <w:r w:rsidRPr="00D17D0C">
        <w:t>a password</w:t>
      </w:r>
    </w:p>
    <w:p w14:paraId="3C9ABD58" w14:textId="66C2DAD1" w:rsidR="00CE358E" w:rsidRPr="00D17D0C" w:rsidRDefault="00D17D0C" w:rsidP="00D17D0C">
      <w:pPr>
        <w:pStyle w:val="AH5Sec"/>
        <w:shd w:val="pct25" w:color="auto" w:fill="auto"/>
      </w:pPr>
      <w:bookmarkStart w:id="12" w:name="_Toc110515068"/>
      <w:r w:rsidRPr="00D17D0C">
        <w:rPr>
          <w:rStyle w:val="CharSectNo"/>
        </w:rPr>
        <w:t>11</w:t>
      </w:r>
      <w:r w:rsidRPr="00D17D0C">
        <w:tab/>
      </w:r>
      <w:r w:rsidR="00CE358E" w:rsidRPr="00D17D0C">
        <w:t>Schedule 1, section 1.30 (6)</w:t>
      </w:r>
      <w:r w:rsidR="00805ABB" w:rsidRPr="00D17D0C">
        <w:t xml:space="preserve"> and (7)</w:t>
      </w:r>
      <w:bookmarkEnd w:id="12"/>
    </w:p>
    <w:p w14:paraId="4A5DA4F3" w14:textId="77777777" w:rsidR="00805ABB" w:rsidRPr="00D17D0C" w:rsidRDefault="00805ABB" w:rsidP="00805ABB">
      <w:pPr>
        <w:pStyle w:val="direction"/>
      </w:pPr>
      <w:r w:rsidRPr="00D17D0C">
        <w:t>omit</w:t>
      </w:r>
    </w:p>
    <w:p w14:paraId="058DE5FC" w14:textId="16426CC3" w:rsidR="00805ABB" w:rsidRPr="00D17D0C" w:rsidRDefault="00805ABB" w:rsidP="00805ABB">
      <w:pPr>
        <w:pStyle w:val="Amainreturn"/>
      </w:pPr>
      <w:r w:rsidRPr="00D17D0C">
        <w:t>totalisator licensee</w:t>
      </w:r>
    </w:p>
    <w:p w14:paraId="2FBC9C1C" w14:textId="77777777" w:rsidR="00805ABB" w:rsidRPr="00D17D0C" w:rsidRDefault="00805ABB" w:rsidP="00805ABB">
      <w:pPr>
        <w:pStyle w:val="direction"/>
      </w:pPr>
      <w:r w:rsidRPr="00D17D0C">
        <w:t>substitute</w:t>
      </w:r>
    </w:p>
    <w:p w14:paraId="71BDB469" w14:textId="0A66DC7A" w:rsidR="00805ABB" w:rsidRPr="00D17D0C" w:rsidRDefault="007F4EA0" w:rsidP="00805ABB">
      <w:pPr>
        <w:pStyle w:val="Amainreturn"/>
        <w:rPr>
          <w:shd w:val="clear" w:color="auto" w:fill="FFFFFF"/>
        </w:rPr>
      </w:pPr>
      <w:r w:rsidRPr="00D17D0C">
        <w:rPr>
          <w:shd w:val="clear" w:color="auto" w:fill="FFFFFF"/>
        </w:rPr>
        <w:t xml:space="preserve">totalisator licensee, </w:t>
      </w:r>
      <w:r w:rsidR="00CC0F64" w:rsidRPr="00D17D0C">
        <w:rPr>
          <w:shd w:val="clear" w:color="auto" w:fill="FFFFFF"/>
        </w:rPr>
        <w:t xml:space="preserve">electronic race </w:t>
      </w:r>
      <w:r w:rsidRPr="00D17D0C">
        <w:rPr>
          <w:shd w:val="clear" w:color="auto" w:fill="FFFFFF"/>
        </w:rPr>
        <w:t>bookmaking licensee or</w:t>
      </w:r>
      <w:r w:rsidR="00CC0F64" w:rsidRPr="00D17D0C">
        <w:rPr>
          <w:shd w:val="clear" w:color="auto" w:fill="FFFFFF"/>
        </w:rPr>
        <w:t xml:space="preserve"> </w:t>
      </w:r>
      <w:r w:rsidR="00805ABB" w:rsidRPr="00D17D0C">
        <w:rPr>
          <w:shd w:val="clear" w:color="auto" w:fill="FFFFFF"/>
        </w:rPr>
        <w:t xml:space="preserve">sports bookmaking licensee </w:t>
      </w:r>
    </w:p>
    <w:p w14:paraId="7B57F8E3" w14:textId="24CCFAEB" w:rsidR="00CE358E" w:rsidRPr="00D17D0C" w:rsidRDefault="00D17D0C" w:rsidP="00D17D0C">
      <w:pPr>
        <w:pStyle w:val="AH5Sec"/>
        <w:keepNext w:val="0"/>
        <w:shd w:val="pct25" w:color="auto" w:fill="auto"/>
      </w:pPr>
      <w:bookmarkStart w:id="13" w:name="_Toc110515069"/>
      <w:r w:rsidRPr="00D17D0C">
        <w:rPr>
          <w:rStyle w:val="CharSectNo"/>
        </w:rPr>
        <w:t>12</w:t>
      </w:r>
      <w:r w:rsidRPr="00D17D0C">
        <w:tab/>
      </w:r>
      <w:r w:rsidR="00CE358E" w:rsidRPr="00D17D0C">
        <w:t xml:space="preserve">Schedule 1, section 1.30 (10), definition of </w:t>
      </w:r>
      <w:r w:rsidR="00CE358E" w:rsidRPr="00D17D0C">
        <w:rPr>
          <w:rStyle w:val="charItals"/>
        </w:rPr>
        <w:t>betting account</w:t>
      </w:r>
      <w:bookmarkEnd w:id="13"/>
    </w:p>
    <w:p w14:paraId="78F40523" w14:textId="77777777" w:rsidR="00CE358E" w:rsidRPr="00D17D0C" w:rsidRDefault="00CE358E" w:rsidP="00CE358E">
      <w:pPr>
        <w:pStyle w:val="direction"/>
        <w:keepNext w:val="0"/>
      </w:pPr>
      <w:r w:rsidRPr="00D17D0C">
        <w:t>omit</w:t>
      </w:r>
    </w:p>
    <w:p w14:paraId="4476067A" w14:textId="56841957" w:rsidR="00CE358E" w:rsidRPr="00D17D0C" w:rsidRDefault="00D17D0C" w:rsidP="00D17D0C">
      <w:pPr>
        <w:pStyle w:val="AH5Sec"/>
        <w:shd w:val="pct25" w:color="auto" w:fill="auto"/>
      </w:pPr>
      <w:bookmarkStart w:id="14" w:name="_Toc110515070"/>
      <w:r w:rsidRPr="00D17D0C">
        <w:rPr>
          <w:rStyle w:val="CharSectNo"/>
        </w:rPr>
        <w:t>13</w:t>
      </w:r>
      <w:r w:rsidRPr="00D17D0C">
        <w:tab/>
      </w:r>
      <w:r w:rsidR="00CE358E" w:rsidRPr="00D17D0C">
        <w:t>Schedule 1, section 1.30C heading</w:t>
      </w:r>
      <w:bookmarkEnd w:id="14"/>
    </w:p>
    <w:p w14:paraId="7EE34C69" w14:textId="77777777" w:rsidR="00CE358E" w:rsidRPr="00D17D0C" w:rsidRDefault="00CE358E" w:rsidP="00CE358E">
      <w:pPr>
        <w:pStyle w:val="direction"/>
      </w:pPr>
      <w:r w:rsidRPr="00D17D0C">
        <w:t>substitute</w:t>
      </w:r>
    </w:p>
    <w:p w14:paraId="70F74D08" w14:textId="42066725" w:rsidR="00CE358E" w:rsidRPr="00D17D0C" w:rsidRDefault="00CE358E" w:rsidP="00461397">
      <w:pPr>
        <w:pStyle w:val="ISchclauseheading"/>
        <w:keepNext w:val="0"/>
        <w:rPr>
          <w:shd w:val="clear" w:color="auto" w:fill="FFFFFF"/>
        </w:rPr>
      </w:pPr>
      <w:r w:rsidRPr="00D17D0C">
        <w:rPr>
          <w:shd w:val="clear" w:color="auto" w:fill="FFFFFF"/>
        </w:rPr>
        <w:t>1.30C</w:t>
      </w:r>
      <w:r w:rsidRPr="00D17D0C">
        <w:rPr>
          <w:shd w:val="clear" w:color="auto" w:fill="FFFFFF"/>
        </w:rPr>
        <w:tab/>
        <w:t>Direct marketing—</w:t>
      </w:r>
      <w:r w:rsidR="007B14D9" w:rsidRPr="00D17D0C">
        <w:rPr>
          <w:shd w:val="clear" w:color="auto" w:fill="FFFFFF"/>
        </w:rPr>
        <w:t xml:space="preserve">electronic </w:t>
      </w:r>
      <w:r w:rsidR="0083581A" w:rsidRPr="00D17D0C">
        <w:rPr>
          <w:shd w:val="clear" w:color="auto" w:fill="FFFFFF"/>
        </w:rPr>
        <w:t>r</w:t>
      </w:r>
      <w:r w:rsidRPr="00D17D0C">
        <w:rPr>
          <w:shd w:val="clear" w:color="auto" w:fill="FFFFFF"/>
        </w:rPr>
        <w:t>ace bookmaking</w:t>
      </w:r>
      <w:r w:rsidR="00515B54" w:rsidRPr="00D17D0C">
        <w:rPr>
          <w:shd w:val="clear" w:color="auto" w:fill="FFFFFF"/>
        </w:rPr>
        <w:t>,</w:t>
      </w:r>
      <w:r w:rsidRPr="00D17D0C">
        <w:rPr>
          <w:shd w:val="clear" w:color="auto" w:fill="FFFFFF"/>
        </w:rPr>
        <w:t xml:space="preserve"> sports bookmaking </w:t>
      </w:r>
      <w:r w:rsidR="00515B54" w:rsidRPr="00D17D0C">
        <w:rPr>
          <w:shd w:val="clear" w:color="auto" w:fill="FFFFFF"/>
        </w:rPr>
        <w:t>and totalisator licensees</w:t>
      </w:r>
    </w:p>
    <w:p w14:paraId="5A531388" w14:textId="2BB4EA0F" w:rsidR="00CE358E" w:rsidRPr="00D17D0C" w:rsidRDefault="00D17D0C" w:rsidP="00D17D0C">
      <w:pPr>
        <w:pStyle w:val="AH5Sec"/>
        <w:shd w:val="pct25" w:color="auto" w:fill="auto"/>
      </w:pPr>
      <w:bookmarkStart w:id="15" w:name="_Toc110515071"/>
      <w:r w:rsidRPr="00D17D0C">
        <w:rPr>
          <w:rStyle w:val="CharSectNo"/>
        </w:rPr>
        <w:lastRenderedPageBreak/>
        <w:t>14</w:t>
      </w:r>
      <w:r w:rsidRPr="00D17D0C">
        <w:tab/>
      </w:r>
      <w:r w:rsidR="00CE358E" w:rsidRPr="00D17D0C">
        <w:t>Schedule 1, section 1.30C</w:t>
      </w:r>
      <w:r w:rsidR="00811B13" w:rsidRPr="00D17D0C">
        <w:t xml:space="preserve"> </w:t>
      </w:r>
      <w:r w:rsidR="00CE358E" w:rsidRPr="00D17D0C">
        <w:t>(1)</w:t>
      </w:r>
      <w:bookmarkEnd w:id="15"/>
    </w:p>
    <w:p w14:paraId="7993DD87" w14:textId="77777777" w:rsidR="00515B54" w:rsidRPr="00D17D0C" w:rsidRDefault="00515B54" w:rsidP="00515B54">
      <w:pPr>
        <w:pStyle w:val="direction"/>
      </w:pPr>
      <w:r w:rsidRPr="00D17D0C">
        <w:t>substitute</w:t>
      </w:r>
    </w:p>
    <w:p w14:paraId="64F9FC3F" w14:textId="167341CF" w:rsidR="001E5518" w:rsidRPr="00D17D0C" w:rsidRDefault="001E5518" w:rsidP="00461397">
      <w:pPr>
        <w:pStyle w:val="IMain"/>
        <w:keepNext/>
        <w:rPr>
          <w:shd w:val="clear" w:color="auto" w:fill="FFFFFF"/>
        </w:rPr>
      </w:pPr>
      <w:r w:rsidRPr="00D17D0C">
        <w:rPr>
          <w:shd w:val="clear" w:color="auto" w:fill="FFFFFF"/>
        </w:rPr>
        <w:tab/>
        <w:t>(1)</w:t>
      </w:r>
      <w:r w:rsidRPr="00D17D0C">
        <w:rPr>
          <w:shd w:val="clear" w:color="auto" w:fill="FFFFFF"/>
        </w:rPr>
        <w:tab/>
        <w:t>This section applies to the following licensees:</w:t>
      </w:r>
    </w:p>
    <w:p w14:paraId="159497E7" w14:textId="4BB8AC31" w:rsidR="001E5518" w:rsidRPr="00D17D0C" w:rsidRDefault="001E5518" w:rsidP="00461397">
      <w:pPr>
        <w:pStyle w:val="ISchpara"/>
        <w:keepNext/>
      </w:pPr>
      <w:r w:rsidRPr="00D17D0C">
        <w:tab/>
        <w:t>(a)</w:t>
      </w:r>
      <w:r w:rsidRPr="00D17D0C">
        <w:tab/>
        <w:t>a</w:t>
      </w:r>
      <w:r w:rsidR="007F4EA0" w:rsidRPr="00D17D0C">
        <w:t>n electronic race</w:t>
      </w:r>
      <w:r w:rsidRPr="00D17D0C">
        <w:t xml:space="preserve"> bookmaking licensee;</w:t>
      </w:r>
    </w:p>
    <w:p w14:paraId="009427E7" w14:textId="77777777" w:rsidR="001E5518" w:rsidRPr="00D17D0C" w:rsidRDefault="001E5518" w:rsidP="00461397">
      <w:pPr>
        <w:pStyle w:val="ISchpara"/>
        <w:keepNext/>
      </w:pPr>
      <w:r w:rsidRPr="00D17D0C">
        <w:tab/>
        <w:t>(b)</w:t>
      </w:r>
      <w:r w:rsidRPr="00D17D0C">
        <w:tab/>
        <w:t>a sports bookmaking licensee;</w:t>
      </w:r>
    </w:p>
    <w:p w14:paraId="4ECB781F" w14:textId="5EB055C0" w:rsidR="001E5518" w:rsidRPr="00D17D0C" w:rsidRDefault="001E5518" w:rsidP="001E5518">
      <w:pPr>
        <w:pStyle w:val="ISchpara"/>
      </w:pPr>
      <w:r w:rsidRPr="00D17D0C">
        <w:tab/>
        <w:t>(c)</w:t>
      </w:r>
      <w:r w:rsidRPr="00D17D0C">
        <w:tab/>
        <w:t>a totalisator licensee.</w:t>
      </w:r>
    </w:p>
    <w:p w14:paraId="6B6378FB" w14:textId="56A8FB13" w:rsidR="00CE358E" w:rsidRPr="00D17D0C" w:rsidRDefault="00D17D0C" w:rsidP="00D17D0C">
      <w:pPr>
        <w:pStyle w:val="AH5Sec"/>
        <w:shd w:val="pct25" w:color="auto" w:fill="auto"/>
      </w:pPr>
      <w:bookmarkStart w:id="16" w:name="_Toc110515072"/>
      <w:r w:rsidRPr="00D17D0C">
        <w:rPr>
          <w:rStyle w:val="CharSectNo"/>
        </w:rPr>
        <w:t>15</w:t>
      </w:r>
      <w:r w:rsidRPr="00D17D0C">
        <w:tab/>
      </w:r>
      <w:r w:rsidR="00CE358E" w:rsidRPr="00D17D0C">
        <w:t>Schedule 1, section 1.30C (4)</w:t>
      </w:r>
      <w:bookmarkEnd w:id="16"/>
    </w:p>
    <w:p w14:paraId="62252739" w14:textId="77777777" w:rsidR="00CE358E" w:rsidRPr="00D17D0C" w:rsidRDefault="00CE358E" w:rsidP="00CE358E">
      <w:pPr>
        <w:pStyle w:val="direction"/>
      </w:pPr>
      <w:r w:rsidRPr="00D17D0C">
        <w:t>omit</w:t>
      </w:r>
    </w:p>
    <w:p w14:paraId="465EA13B" w14:textId="36E3A7CC" w:rsidR="00CE358E" w:rsidRPr="00D17D0C" w:rsidRDefault="00D17D0C" w:rsidP="00D17D0C">
      <w:pPr>
        <w:pStyle w:val="AH5Sec"/>
        <w:shd w:val="pct25" w:color="auto" w:fill="auto"/>
      </w:pPr>
      <w:bookmarkStart w:id="17" w:name="_Toc110515073"/>
      <w:r w:rsidRPr="00D17D0C">
        <w:rPr>
          <w:rStyle w:val="CharSectNo"/>
        </w:rPr>
        <w:t>16</w:t>
      </w:r>
      <w:r w:rsidRPr="00D17D0C">
        <w:tab/>
      </w:r>
      <w:r w:rsidR="00CE358E" w:rsidRPr="00D17D0C">
        <w:t>Schedule 1, section 1.30D heading</w:t>
      </w:r>
      <w:bookmarkEnd w:id="17"/>
    </w:p>
    <w:p w14:paraId="375C2103" w14:textId="77777777" w:rsidR="00CE358E" w:rsidRPr="00D17D0C" w:rsidRDefault="00CE358E" w:rsidP="00CE358E">
      <w:pPr>
        <w:pStyle w:val="direction"/>
      </w:pPr>
      <w:r w:rsidRPr="00D17D0C">
        <w:t>substitute</w:t>
      </w:r>
    </w:p>
    <w:p w14:paraId="646B3BFE" w14:textId="0625300C" w:rsidR="00CE358E" w:rsidRPr="00D17D0C" w:rsidRDefault="00CE358E" w:rsidP="008E08BE">
      <w:pPr>
        <w:pStyle w:val="ISchclauseheading"/>
        <w:rPr>
          <w:shd w:val="clear" w:color="auto" w:fill="FFFFFF"/>
        </w:rPr>
      </w:pPr>
      <w:r w:rsidRPr="00D17D0C">
        <w:rPr>
          <w:shd w:val="clear" w:color="auto" w:fill="FFFFFF"/>
        </w:rPr>
        <w:t>1.30D</w:t>
      </w:r>
      <w:r w:rsidRPr="00D17D0C">
        <w:rPr>
          <w:shd w:val="clear" w:color="auto" w:fill="FFFFFF"/>
        </w:rPr>
        <w:tab/>
        <w:t xml:space="preserve">Guidelines for direct marketing by </w:t>
      </w:r>
      <w:r w:rsidR="00A44EBA">
        <w:rPr>
          <w:shd w:val="clear" w:color="auto" w:fill="FFFFFF"/>
        </w:rPr>
        <w:t xml:space="preserve">electronic </w:t>
      </w:r>
      <w:r w:rsidRPr="00D17D0C">
        <w:rPr>
          <w:shd w:val="clear" w:color="auto" w:fill="FFFFFF"/>
        </w:rPr>
        <w:t>race bookmaking</w:t>
      </w:r>
      <w:r w:rsidR="00464581" w:rsidRPr="00D17D0C">
        <w:rPr>
          <w:shd w:val="clear" w:color="auto" w:fill="FFFFFF"/>
        </w:rPr>
        <w:t xml:space="preserve">, sports bookmaking and totalisator </w:t>
      </w:r>
      <w:r w:rsidRPr="00D17D0C">
        <w:rPr>
          <w:shd w:val="clear" w:color="auto" w:fill="FFFFFF"/>
        </w:rPr>
        <w:t>licensees</w:t>
      </w:r>
    </w:p>
    <w:p w14:paraId="00E95931" w14:textId="679E16F5" w:rsidR="00CE358E" w:rsidRPr="00D17D0C" w:rsidRDefault="00D17D0C" w:rsidP="00D17D0C">
      <w:pPr>
        <w:pStyle w:val="AH5Sec"/>
        <w:shd w:val="pct25" w:color="auto" w:fill="auto"/>
      </w:pPr>
      <w:bookmarkStart w:id="18" w:name="_Toc110515074"/>
      <w:r w:rsidRPr="00D17D0C">
        <w:rPr>
          <w:rStyle w:val="CharSectNo"/>
        </w:rPr>
        <w:t>17</w:t>
      </w:r>
      <w:r w:rsidRPr="00D17D0C">
        <w:tab/>
      </w:r>
      <w:r w:rsidR="00CE358E" w:rsidRPr="00D17D0C">
        <w:t>Schedule 1, section 1.30D (1)</w:t>
      </w:r>
      <w:bookmarkEnd w:id="18"/>
    </w:p>
    <w:p w14:paraId="7E3A334C" w14:textId="77777777" w:rsidR="00464581" w:rsidRPr="00D17D0C" w:rsidRDefault="00464581" w:rsidP="00464581">
      <w:pPr>
        <w:pStyle w:val="direction"/>
      </w:pPr>
      <w:r w:rsidRPr="00D17D0C">
        <w:t>substitute</w:t>
      </w:r>
    </w:p>
    <w:p w14:paraId="4FC31828" w14:textId="77777777" w:rsidR="00464581" w:rsidRPr="00D17D0C" w:rsidRDefault="00464581" w:rsidP="00464581">
      <w:pPr>
        <w:pStyle w:val="IMain"/>
        <w:rPr>
          <w:shd w:val="clear" w:color="auto" w:fill="FFFFFF"/>
        </w:rPr>
      </w:pPr>
      <w:r w:rsidRPr="00D17D0C">
        <w:rPr>
          <w:shd w:val="clear" w:color="auto" w:fill="FFFFFF"/>
        </w:rPr>
        <w:tab/>
        <w:t>(1)</w:t>
      </w:r>
      <w:r w:rsidRPr="00D17D0C">
        <w:rPr>
          <w:shd w:val="clear" w:color="auto" w:fill="FFFFFF"/>
        </w:rPr>
        <w:tab/>
        <w:t>the Minister may make guidelines about direct marketing by the following licensees:</w:t>
      </w:r>
    </w:p>
    <w:p w14:paraId="6C273207" w14:textId="7665D747" w:rsidR="00464581" w:rsidRPr="00D17D0C" w:rsidRDefault="00464581" w:rsidP="00464581">
      <w:pPr>
        <w:pStyle w:val="Ipara"/>
      </w:pPr>
      <w:r w:rsidRPr="00D17D0C">
        <w:tab/>
        <w:t>(a)</w:t>
      </w:r>
      <w:r w:rsidRPr="00D17D0C">
        <w:tab/>
        <w:t>a</w:t>
      </w:r>
      <w:r w:rsidR="007F4EA0" w:rsidRPr="00D17D0C">
        <w:t>n electronic</w:t>
      </w:r>
      <w:r w:rsidRPr="00D17D0C">
        <w:t xml:space="preserve"> race bookmaking licensee;</w:t>
      </w:r>
    </w:p>
    <w:p w14:paraId="36B722D1" w14:textId="77777777" w:rsidR="00464581" w:rsidRPr="00D17D0C" w:rsidRDefault="00464581" w:rsidP="00464581">
      <w:pPr>
        <w:pStyle w:val="ISchpara"/>
      </w:pPr>
      <w:r w:rsidRPr="00D17D0C">
        <w:tab/>
        <w:t>(b)</w:t>
      </w:r>
      <w:r w:rsidRPr="00D17D0C">
        <w:tab/>
        <w:t>a sports bookmaking licensee;</w:t>
      </w:r>
    </w:p>
    <w:p w14:paraId="2ABF7189" w14:textId="77777777" w:rsidR="00464581" w:rsidRPr="00D17D0C" w:rsidRDefault="00464581" w:rsidP="00464581">
      <w:pPr>
        <w:pStyle w:val="ISchpara"/>
      </w:pPr>
      <w:r w:rsidRPr="00D17D0C">
        <w:tab/>
        <w:t>(c)</w:t>
      </w:r>
      <w:r w:rsidRPr="00D17D0C">
        <w:tab/>
        <w:t>a totalisator licensee.</w:t>
      </w:r>
    </w:p>
    <w:p w14:paraId="692AF1E9" w14:textId="508A6052" w:rsidR="00CE358E" w:rsidRPr="00D17D0C" w:rsidRDefault="00D17D0C" w:rsidP="00D17D0C">
      <w:pPr>
        <w:pStyle w:val="AH5Sec"/>
        <w:shd w:val="pct25" w:color="auto" w:fill="auto"/>
      </w:pPr>
      <w:bookmarkStart w:id="19" w:name="_Toc110515075"/>
      <w:r w:rsidRPr="00D17D0C">
        <w:rPr>
          <w:rStyle w:val="CharSectNo"/>
        </w:rPr>
        <w:t>18</w:t>
      </w:r>
      <w:r w:rsidRPr="00D17D0C">
        <w:tab/>
      </w:r>
      <w:r w:rsidR="00CE358E" w:rsidRPr="00D17D0C">
        <w:t>Schedule 1, section 130D (3)</w:t>
      </w:r>
      <w:bookmarkEnd w:id="19"/>
    </w:p>
    <w:p w14:paraId="2F8F584E" w14:textId="77777777" w:rsidR="00CE358E" w:rsidRPr="00D17D0C" w:rsidRDefault="00CE358E" w:rsidP="00461397">
      <w:pPr>
        <w:pStyle w:val="direction"/>
        <w:keepNext w:val="0"/>
      </w:pPr>
      <w:r w:rsidRPr="00D17D0C">
        <w:t>omit</w:t>
      </w:r>
    </w:p>
    <w:p w14:paraId="293B67F4" w14:textId="41AACD14" w:rsidR="00CE358E" w:rsidRPr="00D17D0C" w:rsidRDefault="00D17D0C" w:rsidP="00D17D0C">
      <w:pPr>
        <w:pStyle w:val="AH5Sec"/>
        <w:shd w:val="pct25" w:color="auto" w:fill="auto"/>
      </w:pPr>
      <w:bookmarkStart w:id="20" w:name="_Toc110515076"/>
      <w:r w:rsidRPr="00D17D0C">
        <w:rPr>
          <w:rStyle w:val="CharSectNo"/>
        </w:rPr>
        <w:lastRenderedPageBreak/>
        <w:t>19</w:t>
      </w:r>
      <w:r w:rsidRPr="00D17D0C">
        <w:tab/>
      </w:r>
      <w:r w:rsidR="00CE358E" w:rsidRPr="00D17D0C">
        <w:t>Dictionary, notes 1 to 3</w:t>
      </w:r>
      <w:bookmarkEnd w:id="20"/>
    </w:p>
    <w:p w14:paraId="670FB748" w14:textId="77777777" w:rsidR="00CE358E" w:rsidRPr="00D17D0C" w:rsidRDefault="00CE358E" w:rsidP="00CE358E">
      <w:pPr>
        <w:pStyle w:val="direction"/>
      </w:pPr>
      <w:r w:rsidRPr="00D17D0C">
        <w:t>substitute</w:t>
      </w:r>
    </w:p>
    <w:p w14:paraId="60F73579" w14:textId="40BB63DF" w:rsidR="00CE358E" w:rsidRPr="00D17D0C" w:rsidRDefault="00CE358E" w:rsidP="00CE358E">
      <w:pPr>
        <w:pStyle w:val="aNote"/>
      </w:pPr>
      <w:r w:rsidRPr="00D17D0C">
        <w:rPr>
          <w:rStyle w:val="charItals"/>
        </w:rPr>
        <w:t>Note 1</w:t>
      </w:r>
      <w:r w:rsidRPr="00D17D0C">
        <w:rPr>
          <w:rStyle w:val="charItals"/>
        </w:rPr>
        <w:tab/>
      </w:r>
      <w:r w:rsidRPr="00D17D0C">
        <w:t xml:space="preserve">The </w:t>
      </w:r>
      <w:hyperlink r:id="rId24" w:tooltip="A2001-14" w:history="1">
        <w:r w:rsidR="008D03CD" w:rsidRPr="00D17D0C">
          <w:rPr>
            <w:rStyle w:val="charCitHyperlinkAbbrev"/>
          </w:rPr>
          <w:t>Legislation Act</w:t>
        </w:r>
      </w:hyperlink>
      <w:r w:rsidRPr="00D17D0C">
        <w:t xml:space="preserve"> contains definitions relevant to this regulation. For</w:t>
      </w:r>
      <w:r w:rsidR="008E08BE" w:rsidRPr="00D17D0C">
        <w:t> </w:t>
      </w:r>
      <w:r w:rsidRPr="00D17D0C">
        <w:t>example:</w:t>
      </w:r>
    </w:p>
    <w:p w14:paraId="06CB4784" w14:textId="124A2645" w:rsidR="00CE358E" w:rsidRPr="00D17D0C" w:rsidRDefault="00D17D0C" w:rsidP="00D17D0C">
      <w:pPr>
        <w:pStyle w:val="aNoteBulletss"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ACAT</w:t>
      </w:r>
    </w:p>
    <w:p w14:paraId="3F833D4A" w14:textId="003BD43F" w:rsidR="00CE358E" w:rsidRPr="00D17D0C" w:rsidRDefault="00D17D0C" w:rsidP="00D17D0C">
      <w:pPr>
        <w:pStyle w:val="aNoteBulletss"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amend</w:t>
      </w:r>
    </w:p>
    <w:p w14:paraId="28D30B6A" w14:textId="7DECCB2F" w:rsidR="00CE358E" w:rsidRPr="00D17D0C" w:rsidRDefault="00D17D0C" w:rsidP="00D17D0C">
      <w:pPr>
        <w:pStyle w:val="aNoteBulletss"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contravene</w:t>
      </w:r>
    </w:p>
    <w:p w14:paraId="43699895" w14:textId="2B8A9116" w:rsidR="00CE358E" w:rsidRPr="00D17D0C" w:rsidRDefault="00D17D0C" w:rsidP="00D17D0C">
      <w:pPr>
        <w:pStyle w:val="aNoteBulletss"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may (see s 146)</w:t>
      </w:r>
    </w:p>
    <w:p w14:paraId="450F5303" w14:textId="410658D4" w:rsidR="00CE358E" w:rsidRPr="00D17D0C" w:rsidRDefault="00D17D0C" w:rsidP="00D17D0C">
      <w:pPr>
        <w:pStyle w:val="aNoteBulletss"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month</w:t>
      </w:r>
    </w:p>
    <w:p w14:paraId="77F06D7B" w14:textId="43020F00" w:rsidR="00CE358E" w:rsidRPr="00D17D0C" w:rsidRDefault="00D17D0C" w:rsidP="00D17D0C">
      <w:pPr>
        <w:pStyle w:val="aNoteBulletss"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must (see s 146)</w:t>
      </w:r>
    </w:p>
    <w:p w14:paraId="5DA50E41" w14:textId="63AB705A" w:rsidR="00CE358E" w:rsidRPr="00D17D0C" w:rsidRDefault="00D17D0C" w:rsidP="00D17D0C">
      <w:pPr>
        <w:pStyle w:val="aNoteBulletss"/>
        <w:keepNext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reviewable decision notice.</w:t>
      </w:r>
    </w:p>
    <w:p w14:paraId="2020B625" w14:textId="62D2DA47" w:rsidR="00CE358E" w:rsidRPr="00D17D0C" w:rsidRDefault="00CE358E" w:rsidP="00CE358E">
      <w:pPr>
        <w:pStyle w:val="aNote"/>
        <w:rPr>
          <w:iCs/>
        </w:rPr>
      </w:pPr>
      <w:r w:rsidRPr="00D17D0C">
        <w:rPr>
          <w:rStyle w:val="charItals"/>
        </w:rPr>
        <w:t>Note 2</w:t>
      </w:r>
      <w:r w:rsidRPr="00D17D0C">
        <w:rPr>
          <w:rStyle w:val="charItals"/>
        </w:rPr>
        <w:tab/>
      </w:r>
      <w:r w:rsidRPr="00D17D0C">
        <w:rPr>
          <w:iCs/>
        </w:rPr>
        <w:t xml:space="preserve">Terms used in this regulation have the same meaning that they have in the </w:t>
      </w:r>
      <w:hyperlink r:id="rId25" w:tooltip="A1999-46" w:history="1">
        <w:r w:rsidR="008D03CD" w:rsidRPr="00D17D0C">
          <w:rPr>
            <w:rStyle w:val="charCitHyperlinkItal"/>
          </w:rPr>
          <w:t>Gambling and Racing Control Act 1999</w:t>
        </w:r>
      </w:hyperlink>
      <w:r w:rsidRPr="00D17D0C">
        <w:rPr>
          <w:iCs/>
        </w:rPr>
        <w:t xml:space="preserve">. For example, the following terms are defined in the </w:t>
      </w:r>
      <w:hyperlink r:id="rId26" w:tooltip="A1999-46" w:history="1">
        <w:r w:rsidR="008D03CD" w:rsidRPr="00D17D0C">
          <w:rPr>
            <w:rStyle w:val="charCitHyperlinkItal"/>
          </w:rPr>
          <w:t>Gambling and Racing Control Act 1999</w:t>
        </w:r>
      </w:hyperlink>
      <w:r w:rsidRPr="00D17D0C">
        <w:rPr>
          <w:iCs/>
        </w:rPr>
        <w:t>, dict:</w:t>
      </w:r>
    </w:p>
    <w:p w14:paraId="21F87DD0" w14:textId="2837119D" w:rsidR="00CE358E" w:rsidRPr="00D17D0C" w:rsidRDefault="00D17D0C" w:rsidP="00D17D0C">
      <w:pPr>
        <w:pStyle w:val="aNoteBulletss"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casino</w:t>
      </w:r>
    </w:p>
    <w:p w14:paraId="54FF5C45" w14:textId="1CE21472" w:rsidR="00CE358E" w:rsidRPr="00D17D0C" w:rsidRDefault="00D17D0C" w:rsidP="00D17D0C">
      <w:pPr>
        <w:pStyle w:val="aNoteBulletss"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commission</w:t>
      </w:r>
    </w:p>
    <w:p w14:paraId="63839663" w14:textId="642FE7F2" w:rsidR="00CE358E" w:rsidRPr="00D17D0C" w:rsidRDefault="00D17D0C" w:rsidP="00D17D0C">
      <w:pPr>
        <w:pStyle w:val="aNoteBulletss"/>
        <w:tabs>
          <w:tab w:val="left" w:pos="2300"/>
        </w:tabs>
      </w:pPr>
      <w:r w:rsidRPr="00D17D0C">
        <w:rPr>
          <w:rFonts w:ascii="Symbol" w:hAnsi="Symbol"/>
        </w:rPr>
        <w:t></w:t>
      </w:r>
      <w:r w:rsidRPr="00D17D0C">
        <w:rPr>
          <w:rFonts w:ascii="Symbol" w:hAnsi="Symbol"/>
        </w:rPr>
        <w:tab/>
      </w:r>
      <w:r w:rsidR="00CE358E" w:rsidRPr="00D17D0C">
        <w:t>gaming law.</w:t>
      </w:r>
    </w:p>
    <w:p w14:paraId="4A2D2D34" w14:textId="4EDF3638" w:rsidR="00CE358E" w:rsidRPr="00D17D0C" w:rsidRDefault="00D17D0C" w:rsidP="00D17D0C">
      <w:pPr>
        <w:pStyle w:val="AH5Sec"/>
        <w:shd w:val="pct25" w:color="auto" w:fill="auto"/>
      </w:pPr>
      <w:bookmarkStart w:id="21" w:name="_Toc110515077"/>
      <w:r w:rsidRPr="00D17D0C">
        <w:rPr>
          <w:rStyle w:val="CharSectNo"/>
        </w:rPr>
        <w:t>20</w:t>
      </w:r>
      <w:r w:rsidRPr="00D17D0C">
        <w:tab/>
      </w:r>
      <w:r w:rsidR="00CE358E" w:rsidRPr="00D17D0C">
        <w:t>Dictionary, new definitions</w:t>
      </w:r>
      <w:bookmarkEnd w:id="21"/>
    </w:p>
    <w:p w14:paraId="422C0A8B" w14:textId="77777777" w:rsidR="00CE358E" w:rsidRPr="00D17D0C" w:rsidRDefault="00CE358E" w:rsidP="00CE358E">
      <w:pPr>
        <w:pStyle w:val="direction"/>
      </w:pPr>
      <w:r w:rsidRPr="00D17D0C">
        <w:t>insert</w:t>
      </w:r>
    </w:p>
    <w:p w14:paraId="2E9D4A7E" w14:textId="540C9578" w:rsidR="00CE358E" w:rsidRPr="00D17D0C" w:rsidRDefault="00CE358E" w:rsidP="00CE358E">
      <w:pPr>
        <w:pStyle w:val="aDef"/>
      </w:pPr>
      <w:r w:rsidRPr="00D17D0C">
        <w:rPr>
          <w:rStyle w:val="charBoldItals"/>
        </w:rPr>
        <w:t>account holder</w:t>
      </w:r>
      <w:r w:rsidRPr="00D17D0C">
        <w:t>, for a betting account, for schedule 1, division 1.2.5 (Betting accounts—activity statements)—see schedule 1, section</w:t>
      </w:r>
      <w:r w:rsidR="00FA092C" w:rsidRPr="00D17D0C">
        <w:t> </w:t>
      </w:r>
      <w:r w:rsidRPr="00D17D0C">
        <w:t>1.20K (1).</w:t>
      </w:r>
    </w:p>
    <w:p w14:paraId="633F8F00" w14:textId="45B0DF1C" w:rsidR="00CE358E" w:rsidRPr="00D17D0C" w:rsidRDefault="00CE358E" w:rsidP="00D17D0C">
      <w:pPr>
        <w:pStyle w:val="aDef"/>
      </w:pPr>
      <w:r w:rsidRPr="00D17D0C">
        <w:rPr>
          <w:rStyle w:val="charBoldItals"/>
        </w:rPr>
        <w:t>activity statement</w:t>
      </w:r>
      <w:r w:rsidRPr="00D17D0C">
        <w:t>, for a betting account, for schedule 1, division</w:t>
      </w:r>
      <w:r w:rsidR="008E08BE" w:rsidRPr="00D17D0C">
        <w:t> </w:t>
      </w:r>
      <w:r w:rsidRPr="00D17D0C">
        <w:t>1.2.5 (Betting accounts—activity statements)—see schedule</w:t>
      </w:r>
      <w:r w:rsidR="008E08BE" w:rsidRPr="00D17D0C">
        <w:t> </w:t>
      </w:r>
      <w:r w:rsidRPr="00D17D0C">
        <w:t>1, section</w:t>
      </w:r>
      <w:r w:rsidR="000253D1">
        <w:t> </w:t>
      </w:r>
      <w:r w:rsidRPr="00D17D0C">
        <w:t>1.20K (1).</w:t>
      </w:r>
    </w:p>
    <w:p w14:paraId="185DDAEE" w14:textId="43112BDF" w:rsidR="00CE358E" w:rsidRPr="00D17D0C" w:rsidRDefault="00CE358E" w:rsidP="00D17D0C">
      <w:pPr>
        <w:pStyle w:val="aDef"/>
      </w:pPr>
      <w:r w:rsidRPr="00D17D0C">
        <w:rPr>
          <w:rStyle w:val="charBoldItals"/>
        </w:rPr>
        <w:t>betting account</w:t>
      </w:r>
      <w:r w:rsidRPr="00D17D0C">
        <w:t>, for schedule 1 (Code of practice)—see</w:t>
      </w:r>
      <w:r w:rsidR="00FA092C" w:rsidRPr="00D17D0C">
        <w:t xml:space="preserve"> </w:t>
      </w:r>
      <w:r w:rsidRPr="00D17D0C">
        <w:t>schedule</w:t>
      </w:r>
      <w:r w:rsidR="00FA092C" w:rsidRPr="00D17D0C">
        <w:t xml:space="preserve"> </w:t>
      </w:r>
      <w:r w:rsidRPr="00D17D0C">
        <w:t>1, section 1.1A.</w:t>
      </w:r>
    </w:p>
    <w:p w14:paraId="63A48D76" w14:textId="30FE8150" w:rsidR="00CE358E" w:rsidRPr="00D17D0C" w:rsidRDefault="00CE358E" w:rsidP="00D17D0C">
      <w:pPr>
        <w:pStyle w:val="aDef"/>
      </w:pPr>
      <w:r w:rsidRPr="00D17D0C">
        <w:rPr>
          <w:rStyle w:val="charBoldItals"/>
        </w:rPr>
        <w:t>bonus bet</w:t>
      </w:r>
      <w:r w:rsidRPr="00D17D0C">
        <w:t>, for schedule 1 , division 1.2.5 (Betting accounts—activity statements)—see schedule 1, section</w:t>
      </w:r>
      <w:r w:rsidR="00FA092C" w:rsidRPr="00D17D0C">
        <w:t xml:space="preserve"> </w:t>
      </w:r>
      <w:r w:rsidRPr="00D17D0C">
        <w:t>1.30</w:t>
      </w:r>
      <w:r w:rsidR="00FA092C" w:rsidRPr="00D17D0C">
        <w:t xml:space="preserve"> </w:t>
      </w:r>
      <w:r w:rsidRPr="00D17D0C">
        <w:t>(7).</w:t>
      </w:r>
    </w:p>
    <w:p w14:paraId="3AD3E021" w14:textId="5FE77E25" w:rsidR="00CE358E" w:rsidRPr="00D17D0C" w:rsidRDefault="00D17D0C" w:rsidP="00D17D0C">
      <w:pPr>
        <w:pStyle w:val="AH5Sec"/>
        <w:shd w:val="pct25" w:color="auto" w:fill="auto"/>
      </w:pPr>
      <w:bookmarkStart w:id="22" w:name="_Toc110515078"/>
      <w:r w:rsidRPr="00D17D0C">
        <w:rPr>
          <w:rStyle w:val="CharSectNo"/>
        </w:rPr>
        <w:lastRenderedPageBreak/>
        <w:t>21</w:t>
      </w:r>
      <w:r w:rsidRPr="00D17D0C">
        <w:tab/>
      </w:r>
      <w:r w:rsidR="00CE358E" w:rsidRPr="00D17D0C">
        <w:t xml:space="preserve">Dictionary, definition of </w:t>
      </w:r>
      <w:r w:rsidR="00CE358E" w:rsidRPr="00D17D0C">
        <w:rPr>
          <w:rStyle w:val="charItals"/>
        </w:rPr>
        <w:t>deed of exclusion</w:t>
      </w:r>
      <w:bookmarkEnd w:id="22"/>
    </w:p>
    <w:p w14:paraId="6D4A19EB" w14:textId="77777777" w:rsidR="00CE358E" w:rsidRPr="00D17D0C" w:rsidRDefault="00CE358E" w:rsidP="00CE358E">
      <w:pPr>
        <w:pStyle w:val="direction"/>
      </w:pPr>
      <w:r w:rsidRPr="00D17D0C">
        <w:t>substitute</w:t>
      </w:r>
    </w:p>
    <w:p w14:paraId="4ED13499" w14:textId="650C3E07" w:rsidR="00CE358E" w:rsidRPr="00D17D0C" w:rsidRDefault="00CE358E" w:rsidP="00D17D0C">
      <w:pPr>
        <w:pStyle w:val="aDef"/>
      </w:pPr>
      <w:r w:rsidRPr="00D17D0C">
        <w:rPr>
          <w:rStyle w:val="charBoldItals"/>
        </w:rPr>
        <w:t>deed of exclusion</w:t>
      </w:r>
      <w:r w:rsidR="002A0D87" w:rsidRPr="00D17D0C">
        <w:t>, for schedule 1 (Code of practice)—</w:t>
      </w:r>
      <w:r w:rsidRPr="00D17D0C">
        <w:t>see schedule</w:t>
      </w:r>
      <w:r w:rsidR="000253D1">
        <w:t xml:space="preserve"> </w:t>
      </w:r>
      <w:r w:rsidRPr="00D17D0C">
        <w:t>1, section</w:t>
      </w:r>
      <w:r w:rsidR="002A0D87" w:rsidRPr="00D17D0C">
        <w:t xml:space="preserve"> </w:t>
      </w:r>
      <w:r w:rsidRPr="00D17D0C">
        <w:t>1.13.</w:t>
      </w:r>
    </w:p>
    <w:p w14:paraId="4ADB9E88" w14:textId="5E6B92B1" w:rsidR="00CE358E" w:rsidRPr="00D17D0C" w:rsidRDefault="00D17D0C" w:rsidP="00D17D0C">
      <w:pPr>
        <w:pStyle w:val="AH5Sec"/>
        <w:shd w:val="pct25" w:color="auto" w:fill="auto"/>
        <w:rPr>
          <w:rStyle w:val="charItals"/>
        </w:rPr>
      </w:pPr>
      <w:bookmarkStart w:id="23" w:name="_Toc110515079"/>
      <w:r w:rsidRPr="00D17D0C">
        <w:rPr>
          <w:rStyle w:val="CharSectNo"/>
        </w:rPr>
        <w:t>22</w:t>
      </w:r>
      <w:r w:rsidRPr="00D17D0C">
        <w:rPr>
          <w:rStyle w:val="charItals"/>
          <w:i w:val="0"/>
        </w:rPr>
        <w:tab/>
      </w:r>
      <w:r w:rsidR="00CE358E" w:rsidRPr="00D17D0C">
        <w:rPr>
          <w:rStyle w:val="charbolditals0"/>
          <w:color w:val="000000"/>
        </w:rPr>
        <w:t>Dictionary, new definitions</w:t>
      </w:r>
      <w:bookmarkEnd w:id="23"/>
      <w:r w:rsidR="00CE358E" w:rsidRPr="00D17D0C">
        <w:rPr>
          <w:rStyle w:val="charbolditals0"/>
          <w:color w:val="000000"/>
        </w:rPr>
        <w:t xml:space="preserve"> </w:t>
      </w:r>
    </w:p>
    <w:p w14:paraId="665DB626" w14:textId="77777777" w:rsidR="00CE358E" w:rsidRPr="00D17D0C" w:rsidRDefault="00CE358E" w:rsidP="00CE358E">
      <w:pPr>
        <w:pStyle w:val="direction"/>
        <w:rPr>
          <w:rStyle w:val="charbolditals0"/>
          <w:color w:val="000000"/>
        </w:rPr>
      </w:pPr>
      <w:r w:rsidRPr="00D17D0C">
        <w:rPr>
          <w:rStyle w:val="charbolditals0"/>
          <w:color w:val="000000"/>
        </w:rPr>
        <w:t>insert</w:t>
      </w:r>
    </w:p>
    <w:p w14:paraId="3421BB7A" w14:textId="1BD34308" w:rsidR="00CE358E" w:rsidRPr="00D17D0C" w:rsidRDefault="00CE358E" w:rsidP="00D17D0C">
      <w:pPr>
        <w:pStyle w:val="aDef"/>
        <w:rPr>
          <w:rStyle w:val="charbolditals0"/>
          <w:color w:val="000000"/>
        </w:rPr>
      </w:pPr>
      <w:r w:rsidRPr="00D17D0C">
        <w:rPr>
          <w:rStyle w:val="charBoldItals"/>
        </w:rPr>
        <w:t>deposit limit</w:t>
      </w:r>
      <w:r w:rsidRPr="00D17D0C">
        <w:rPr>
          <w:rStyle w:val="charbolditals0"/>
          <w:color w:val="000000"/>
        </w:rPr>
        <w:t>, for schedule 1, division 1.2.4 (</w:t>
      </w:r>
      <w:r w:rsidRPr="00D17D0C">
        <w:t>Betting accounts—</w:t>
      </w:r>
      <w:r w:rsidR="007F4EA0" w:rsidRPr="00D17D0C">
        <w:t>electronic race bookmaking, sports bookmaking and totalisator licensees</w:t>
      </w:r>
      <w:r w:rsidRPr="00D17D0C">
        <w:rPr>
          <w:rStyle w:val="charbolditals0"/>
          <w:color w:val="000000"/>
        </w:rPr>
        <w:t>)—see</w:t>
      </w:r>
      <w:r w:rsidR="00FA092C" w:rsidRPr="00D17D0C">
        <w:rPr>
          <w:rStyle w:val="charbolditals0"/>
          <w:color w:val="000000"/>
        </w:rPr>
        <w:t xml:space="preserve"> </w:t>
      </w:r>
      <w:r w:rsidRPr="00D17D0C">
        <w:rPr>
          <w:rStyle w:val="charbolditals0"/>
          <w:color w:val="000000"/>
        </w:rPr>
        <w:t>schedule</w:t>
      </w:r>
      <w:r w:rsidR="00FA092C" w:rsidRPr="00D17D0C">
        <w:rPr>
          <w:rStyle w:val="charbolditals0"/>
          <w:color w:val="000000"/>
        </w:rPr>
        <w:t xml:space="preserve"> </w:t>
      </w:r>
      <w:r w:rsidRPr="00D17D0C">
        <w:rPr>
          <w:rStyle w:val="charbolditals0"/>
          <w:color w:val="000000"/>
        </w:rPr>
        <w:t>1, section</w:t>
      </w:r>
      <w:r w:rsidR="00FA092C" w:rsidRPr="00D17D0C">
        <w:rPr>
          <w:rStyle w:val="charbolditals0"/>
          <w:color w:val="000000"/>
        </w:rPr>
        <w:t xml:space="preserve"> </w:t>
      </w:r>
      <w:r w:rsidRPr="00D17D0C">
        <w:rPr>
          <w:rStyle w:val="charbolditals0"/>
          <w:color w:val="000000"/>
        </w:rPr>
        <w:t>1.20B.</w:t>
      </w:r>
    </w:p>
    <w:p w14:paraId="0D2211D6" w14:textId="1AA9852F" w:rsidR="00CE358E" w:rsidRPr="00D17D0C" w:rsidRDefault="00CE358E" w:rsidP="00D17D0C">
      <w:pPr>
        <w:pStyle w:val="aDef"/>
        <w:rPr>
          <w:color w:val="000000"/>
        </w:rPr>
      </w:pPr>
      <w:r w:rsidRPr="00D17D0C">
        <w:rPr>
          <w:rStyle w:val="charBoldItals"/>
        </w:rPr>
        <w:t>direct marketing</w:t>
      </w:r>
      <w:r w:rsidRPr="00D17D0C">
        <w:t>, for schedule 1 (Code of practice)—see</w:t>
      </w:r>
      <w:r w:rsidR="00FA092C" w:rsidRPr="00D17D0C">
        <w:t xml:space="preserve"> </w:t>
      </w:r>
      <w:r w:rsidRPr="00D17D0C">
        <w:t>schedule</w:t>
      </w:r>
      <w:r w:rsidR="000253D1">
        <w:t xml:space="preserve"> </w:t>
      </w:r>
      <w:r w:rsidRPr="00D17D0C">
        <w:t>1, section</w:t>
      </w:r>
      <w:r w:rsidR="00FA092C" w:rsidRPr="00D17D0C">
        <w:t xml:space="preserve"> </w:t>
      </w:r>
      <w:r w:rsidRPr="00D17D0C">
        <w:t>1.1A.</w:t>
      </w:r>
    </w:p>
    <w:p w14:paraId="4971988B" w14:textId="25F5D601" w:rsidR="00C85BEF" w:rsidRPr="00D17D0C" w:rsidRDefault="00C85BEF" w:rsidP="00D17D0C">
      <w:pPr>
        <w:pStyle w:val="aDef"/>
        <w:rPr>
          <w:rStyle w:val="charbolditals0"/>
          <w:color w:val="000000"/>
        </w:rPr>
      </w:pPr>
      <w:r w:rsidRPr="00D17D0C">
        <w:rPr>
          <w:rStyle w:val="charBoldItals"/>
        </w:rPr>
        <w:t>electronic race bookmaking licensee</w:t>
      </w:r>
      <w:r w:rsidRPr="00D17D0C">
        <w:t>, for schedule 1 (Code of practice)—see schedule 1, section 1.1A.</w:t>
      </w:r>
    </w:p>
    <w:p w14:paraId="6F130266" w14:textId="0A6EF9A3" w:rsidR="00CE358E" w:rsidRPr="00D17D0C" w:rsidRDefault="00D17D0C" w:rsidP="00D17D0C">
      <w:pPr>
        <w:pStyle w:val="AH5Sec"/>
        <w:shd w:val="pct25" w:color="auto" w:fill="auto"/>
        <w:rPr>
          <w:rStyle w:val="charbolditals0"/>
          <w:color w:val="000000"/>
        </w:rPr>
      </w:pPr>
      <w:bookmarkStart w:id="24" w:name="_Toc110515080"/>
      <w:r w:rsidRPr="00D17D0C">
        <w:rPr>
          <w:rStyle w:val="CharSectNo"/>
        </w:rPr>
        <w:t>23</w:t>
      </w:r>
      <w:r w:rsidRPr="00D17D0C">
        <w:rPr>
          <w:rStyle w:val="charbolditals0"/>
          <w:color w:val="000000"/>
        </w:rPr>
        <w:tab/>
      </w:r>
      <w:r w:rsidR="00CE358E" w:rsidRPr="00D17D0C">
        <w:rPr>
          <w:rStyle w:val="charbolditals0"/>
          <w:color w:val="000000"/>
        </w:rPr>
        <w:t xml:space="preserve">Dictionary, definition of </w:t>
      </w:r>
      <w:r w:rsidR="00CE358E" w:rsidRPr="00D17D0C">
        <w:rPr>
          <w:rStyle w:val="charItals"/>
        </w:rPr>
        <w:t>exclusion register</w:t>
      </w:r>
      <w:r w:rsidR="00CE358E" w:rsidRPr="00D17D0C">
        <w:rPr>
          <w:rStyle w:val="charbolditals0"/>
          <w:color w:val="000000"/>
        </w:rPr>
        <w:t xml:space="preserve"> etc</w:t>
      </w:r>
      <w:bookmarkEnd w:id="24"/>
    </w:p>
    <w:p w14:paraId="47500415" w14:textId="77777777" w:rsidR="00CE358E" w:rsidRPr="00D17D0C" w:rsidRDefault="00CE358E" w:rsidP="00CE358E">
      <w:pPr>
        <w:pStyle w:val="direction"/>
      </w:pPr>
      <w:r w:rsidRPr="00D17D0C">
        <w:t>substitute</w:t>
      </w:r>
    </w:p>
    <w:p w14:paraId="63B96B60" w14:textId="2E65446A" w:rsidR="00CE358E" w:rsidRPr="00D17D0C" w:rsidRDefault="00CE358E" w:rsidP="00D17D0C">
      <w:pPr>
        <w:pStyle w:val="aDef"/>
      </w:pPr>
      <w:r w:rsidRPr="00D17D0C">
        <w:rPr>
          <w:rStyle w:val="charBoldItals"/>
        </w:rPr>
        <w:t>exclusion register</w:t>
      </w:r>
      <w:r w:rsidRPr="00D17D0C">
        <w:t>—see section</w:t>
      </w:r>
      <w:r w:rsidR="00FA092C" w:rsidRPr="00D17D0C">
        <w:t xml:space="preserve"> </w:t>
      </w:r>
      <w:r w:rsidRPr="00D17D0C">
        <w:t>20.</w:t>
      </w:r>
    </w:p>
    <w:p w14:paraId="5B59223B" w14:textId="2000BDC7" w:rsidR="00CE358E" w:rsidRPr="00D17D0C" w:rsidRDefault="00CE358E" w:rsidP="00D17D0C">
      <w:pPr>
        <w:pStyle w:val="aDef"/>
        <w:rPr>
          <w:color w:val="000000"/>
        </w:rPr>
      </w:pPr>
      <w:r w:rsidRPr="00D17D0C">
        <w:rPr>
          <w:rStyle w:val="charBoldItals"/>
        </w:rPr>
        <w:t>gambling problem</w:t>
      </w:r>
      <w:r w:rsidRPr="00D17D0C">
        <w:t>, for schedule 1 (Code of practice)</w:t>
      </w:r>
      <w:r w:rsidRPr="00D17D0C">
        <w:rPr>
          <w:color w:val="000000"/>
        </w:rPr>
        <w:t>—see</w:t>
      </w:r>
      <w:r w:rsidR="00FA092C" w:rsidRPr="00D17D0C">
        <w:rPr>
          <w:color w:val="000000"/>
        </w:rPr>
        <w:t xml:space="preserve"> </w:t>
      </w:r>
      <w:r w:rsidRPr="00D17D0C">
        <w:rPr>
          <w:color w:val="000000"/>
        </w:rPr>
        <w:t>schedule</w:t>
      </w:r>
      <w:r w:rsidR="00FA092C" w:rsidRPr="00D17D0C">
        <w:rPr>
          <w:color w:val="000000"/>
        </w:rPr>
        <w:t> </w:t>
      </w:r>
      <w:r w:rsidRPr="00D17D0C">
        <w:rPr>
          <w:color w:val="000000"/>
        </w:rPr>
        <w:t>1, section</w:t>
      </w:r>
      <w:r w:rsidR="00FA092C" w:rsidRPr="00D17D0C">
        <w:rPr>
          <w:color w:val="000000"/>
        </w:rPr>
        <w:t xml:space="preserve"> </w:t>
      </w:r>
      <w:r w:rsidRPr="00D17D0C">
        <w:rPr>
          <w:color w:val="000000"/>
        </w:rPr>
        <w:t>1.2.</w:t>
      </w:r>
    </w:p>
    <w:p w14:paraId="058321E8" w14:textId="77777777" w:rsidR="00CE358E" w:rsidRPr="00D17D0C" w:rsidRDefault="00CE358E" w:rsidP="00D17D0C">
      <w:pPr>
        <w:pStyle w:val="aDef"/>
        <w:rPr>
          <w:color w:val="000000"/>
        </w:rPr>
      </w:pPr>
      <w:r w:rsidRPr="00D17D0C">
        <w:rPr>
          <w:rStyle w:val="charBoldItals"/>
        </w:rPr>
        <w:t>licensee</w:t>
      </w:r>
      <w:r w:rsidRPr="00D17D0C">
        <w:rPr>
          <w:color w:val="000000"/>
        </w:rPr>
        <w:t>—</w:t>
      </w:r>
    </w:p>
    <w:p w14:paraId="12B8670C" w14:textId="71E01C16" w:rsidR="00CE358E" w:rsidRPr="00D17D0C" w:rsidRDefault="00CE358E" w:rsidP="000253D1">
      <w:pPr>
        <w:pStyle w:val="Idefpara"/>
      </w:pPr>
      <w:r w:rsidRPr="00D17D0C">
        <w:tab/>
        <w:t>(a)</w:t>
      </w:r>
      <w:r w:rsidRPr="00D17D0C">
        <w:tab/>
        <w:t xml:space="preserve">for this </w:t>
      </w:r>
      <w:r w:rsidR="002A0D87" w:rsidRPr="00D17D0C">
        <w:t>r</w:t>
      </w:r>
      <w:r w:rsidRPr="00D17D0C">
        <w:t>egulation generally—see section 5.</w:t>
      </w:r>
    </w:p>
    <w:p w14:paraId="4755FFD1" w14:textId="7D2F56EB" w:rsidR="00CE358E" w:rsidRPr="00D17D0C" w:rsidRDefault="00CE358E" w:rsidP="00CE358E">
      <w:pPr>
        <w:pStyle w:val="Idefpara"/>
      </w:pPr>
      <w:r w:rsidRPr="00D17D0C">
        <w:tab/>
        <w:t>(b)</w:t>
      </w:r>
      <w:r w:rsidRPr="00D17D0C">
        <w:tab/>
        <w:t>for schedule 1 (Code of practice)—see schedule 1, section</w:t>
      </w:r>
      <w:r w:rsidR="00FA092C" w:rsidRPr="00D17D0C">
        <w:t xml:space="preserve"> </w:t>
      </w:r>
      <w:r w:rsidRPr="00D17D0C">
        <w:t>1.1.</w:t>
      </w:r>
    </w:p>
    <w:p w14:paraId="4943C134" w14:textId="09BBA2B0" w:rsidR="00CE358E" w:rsidRPr="00D17D0C" w:rsidRDefault="00CE358E" w:rsidP="00D17D0C">
      <w:pPr>
        <w:pStyle w:val="aDef"/>
        <w:rPr>
          <w:color w:val="000000"/>
        </w:rPr>
      </w:pPr>
      <w:r w:rsidRPr="00D17D0C">
        <w:rPr>
          <w:rStyle w:val="charBoldItals"/>
        </w:rPr>
        <w:t>notice of exclusion</w:t>
      </w:r>
      <w:r w:rsidRPr="00D17D0C">
        <w:rPr>
          <w:color w:val="000000"/>
        </w:rPr>
        <w:t>—see schedule 1, section</w:t>
      </w:r>
      <w:r w:rsidR="00FA092C" w:rsidRPr="00D17D0C">
        <w:rPr>
          <w:color w:val="000000"/>
        </w:rPr>
        <w:t xml:space="preserve"> </w:t>
      </w:r>
      <w:r w:rsidRPr="00D17D0C">
        <w:rPr>
          <w:color w:val="000000"/>
        </w:rPr>
        <w:t>1.14 (2) (a).</w:t>
      </w:r>
    </w:p>
    <w:p w14:paraId="4757BE48" w14:textId="0B139CB1" w:rsidR="00CE358E" w:rsidRPr="00D17D0C" w:rsidRDefault="00D17D0C" w:rsidP="00D17D0C">
      <w:pPr>
        <w:pStyle w:val="AH5Sec"/>
        <w:shd w:val="pct25" w:color="auto" w:fill="auto"/>
      </w:pPr>
      <w:bookmarkStart w:id="25" w:name="_Toc110515081"/>
      <w:r w:rsidRPr="00D17D0C">
        <w:rPr>
          <w:rStyle w:val="CharSectNo"/>
        </w:rPr>
        <w:lastRenderedPageBreak/>
        <w:t>24</w:t>
      </w:r>
      <w:r w:rsidRPr="00D17D0C">
        <w:tab/>
      </w:r>
      <w:r w:rsidR="00CE358E" w:rsidRPr="00D17D0C">
        <w:t>Dictionary, new definitions</w:t>
      </w:r>
      <w:bookmarkEnd w:id="25"/>
    </w:p>
    <w:p w14:paraId="0C2BBA8F" w14:textId="77777777" w:rsidR="00CE358E" w:rsidRPr="00D17D0C" w:rsidRDefault="00CE358E" w:rsidP="00CE358E">
      <w:pPr>
        <w:pStyle w:val="direction"/>
      </w:pPr>
      <w:r w:rsidRPr="00D17D0C">
        <w:t>insert</w:t>
      </w:r>
    </w:p>
    <w:p w14:paraId="04A0B0BB" w14:textId="4F8B1BFB" w:rsidR="00CE358E" w:rsidRPr="00D17D0C" w:rsidRDefault="00CE358E" w:rsidP="00D17D0C">
      <w:pPr>
        <w:pStyle w:val="aDef"/>
      </w:pPr>
      <w:r w:rsidRPr="00D17D0C">
        <w:rPr>
          <w:rStyle w:val="charBoldItals"/>
        </w:rPr>
        <w:t>online betting account</w:t>
      </w:r>
      <w:r w:rsidRPr="00D17D0C">
        <w:t>, for schedule 1, division 1.2.5 (Betting accounts—activity statements)—see schedule 1, section</w:t>
      </w:r>
      <w:r w:rsidR="00FA092C" w:rsidRPr="00D17D0C">
        <w:t xml:space="preserve"> </w:t>
      </w:r>
      <w:r w:rsidRPr="00D17D0C">
        <w:t>1.20J.</w:t>
      </w:r>
    </w:p>
    <w:p w14:paraId="19E50265" w14:textId="59EC00C1" w:rsidR="00CE358E" w:rsidRPr="00D17D0C" w:rsidRDefault="00CE358E" w:rsidP="00D17D0C">
      <w:pPr>
        <w:pStyle w:val="aDef"/>
      </w:pPr>
      <w:r w:rsidRPr="00D17D0C">
        <w:rPr>
          <w:rStyle w:val="charBoldItals"/>
        </w:rPr>
        <w:t>statement period</w:t>
      </w:r>
      <w:r w:rsidRPr="00D17D0C">
        <w:t>, for an activity statement, for schedule 1, division 1.2.5 (Betting accounts—activity statements)—see</w:t>
      </w:r>
      <w:r w:rsidR="00FA092C" w:rsidRPr="00D17D0C">
        <w:t xml:space="preserve"> </w:t>
      </w:r>
      <w:r w:rsidRPr="00D17D0C">
        <w:t>schedule</w:t>
      </w:r>
      <w:r w:rsidR="00FA092C" w:rsidRPr="00D17D0C">
        <w:t> </w:t>
      </w:r>
      <w:r w:rsidRPr="00D17D0C">
        <w:t>1, section 1.20K</w:t>
      </w:r>
      <w:r w:rsidR="00FA092C" w:rsidRPr="00D17D0C">
        <w:t xml:space="preserve"> </w:t>
      </w:r>
      <w:r w:rsidRPr="00D17D0C">
        <w:t>(1).</w:t>
      </w:r>
    </w:p>
    <w:p w14:paraId="01999D6F" w14:textId="129793B6" w:rsidR="00CE358E" w:rsidRPr="00D17D0C" w:rsidRDefault="00CE358E" w:rsidP="00D17D0C">
      <w:pPr>
        <w:pStyle w:val="aDef"/>
      </w:pPr>
      <w:r w:rsidRPr="00D17D0C">
        <w:rPr>
          <w:rStyle w:val="charBoldItals"/>
        </w:rPr>
        <w:t>transaction</w:t>
      </w:r>
      <w:r w:rsidRPr="00D17D0C">
        <w:t>, in relation to a betting account, for schedule 1, division 1.2.5 (Betting accounts—activity statements)—see</w:t>
      </w:r>
      <w:r w:rsidR="00FA092C" w:rsidRPr="00D17D0C">
        <w:t xml:space="preserve"> </w:t>
      </w:r>
      <w:r w:rsidRPr="00D17D0C">
        <w:t>schedule</w:t>
      </w:r>
      <w:r w:rsidR="00FA092C" w:rsidRPr="00D17D0C">
        <w:t> </w:t>
      </w:r>
      <w:r w:rsidRPr="00D17D0C">
        <w:t>1, section</w:t>
      </w:r>
      <w:r w:rsidR="00FA092C" w:rsidRPr="00D17D0C">
        <w:t xml:space="preserve"> </w:t>
      </w:r>
      <w:r w:rsidRPr="00D17D0C">
        <w:t>1.20J.</w:t>
      </w:r>
    </w:p>
    <w:p w14:paraId="7D395C66" w14:textId="6F2F0D92" w:rsidR="00CE358E" w:rsidRPr="00D17D0C" w:rsidRDefault="00CE358E" w:rsidP="00D17D0C">
      <w:pPr>
        <w:pStyle w:val="aDef"/>
      </w:pPr>
      <w:r w:rsidRPr="00D17D0C">
        <w:rPr>
          <w:rStyle w:val="charBoldItals"/>
        </w:rPr>
        <w:t>transaction record</w:t>
      </w:r>
      <w:r w:rsidRPr="00D17D0C">
        <w:t>, for a betting account, , for schedule 1, division 1.2.5 (Betting accounts—activity statements)—see</w:t>
      </w:r>
      <w:r w:rsidR="00FA092C" w:rsidRPr="00D17D0C">
        <w:t xml:space="preserve"> </w:t>
      </w:r>
      <w:r w:rsidRPr="00D17D0C">
        <w:t>schedule 1, section</w:t>
      </w:r>
      <w:r w:rsidR="00FA092C" w:rsidRPr="00D17D0C">
        <w:t xml:space="preserve"> </w:t>
      </w:r>
      <w:r w:rsidRPr="00D17D0C">
        <w:t>1.20J.</w:t>
      </w:r>
    </w:p>
    <w:p w14:paraId="0DEFD288" w14:textId="77777777" w:rsidR="00D17D0C" w:rsidRDefault="00D17D0C">
      <w:pPr>
        <w:pStyle w:val="02Text"/>
        <w:sectPr w:rsidR="00D17D0C" w:rsidSect="00D17D0C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5892E6D3" w14:textId="77777777" w:rsidR="00CE358E" w:rsidRPr="00D17D0C" w:rsidRDefault="00CE358E" w:rsidP="00CE358E">
      <w:pPr>
        <w:pStyle w:val="N-line2"/>
      </w:pPr>
    </w:p>
    <w:p w14:paraId="16AE17E1" w14:textId="77777777" w:rsidR="00CE358E" w:rsidRPr="00D17D0C" w:rsidRDefault="00CE358E" w:rsidP="00CE358E">
      <w:pPr>
        <w:pStyle w:val="EndNoteHeading"/>
      </w:pPr>
      <w:r w:rsidRPr="00D17D0C">
        <w:t>Endnotes</w:t>
      </w:r>
    </w:p>
    <w:p w14:paraId="2FD6C371" w14:textId="77777777" w:rsidR="00CE358E" w:rsidRPr="00D17D0C" w:rsidRDefault="00CE358E" w:rsidP="00CE358E">
      <w:pPr>
        <w:pStyle w:val="EndNoteSubHeading"/>
      </w:pPr>
      <w:r w:rsidRPr="00D17D0C">
        <w:t>1</w:t>
      </w:r>
      <w:r w:rsidRPr="00D17D0C">
        <w:tab/>
        <w:t>Notification</w:t>
      </w:r>
    </w:p>
    <w:p w14:paraId="5D14A270" w14:textId="4E0CBE51" w:rsidR="00CE358E" w:rsidRPr="00D17D0C" w:rsidRDefault="00CE358E" w:rsidP="00CE358E">
      <w:pPr>
        <w:pStyle w:val="EndNoteText"/>
      </w:pPr>
      <w:r w:rsidRPr="00D17D0C">
        <w:tab/>
        <w:t xml:space="preserve">Notified under the </w:t>
      </w:r>
      <w:hyperlink r:id="rId32" w:tooltip="A2001-14" w:history="1">
        <w:r w:rsidR="008D03CD" w:rsidRPr="00D17D0C">
          <w:rPr>
            <w:rStyle w:val="charCitHyperlinkAbbrev"/>
          </w:rPr>
          <w:t>Legislation Act</w:t>
        </w:r>
      </w:hyperlink>
      <w:r w:rsidRPr="00D17D0C">
        <w:t xml:space="preserve"> on</w:t>
      </w:r>
      <w:r w:rsidR="00E827D2">
        <w:t xml:space="preserve"> 11 November 2022</w:t>
      </w:r>
      <w:r w:rsidRPr="00D17D0C">
        <w:t>.</w:t>
      </w:r>
    </w:p>
    <w:p w14:paraId="7BA87B19" w14:textId="77777777" w:rsidR="00CE358E" w:rsidRPr="00D17D0C" w:rsidRDefault="00CE358E" w:rsidP="00CE358E">
      <w:pPr>
        <w:pStyle w:val="EndNoteSubHeading"/>
      </w:pPr>
      <w:r w:rsidRPr="00D17D0C">
        <w:t>2</w:t>
      </w:r>
      <w:r w:rsidRPr="00D17D0C">
        <w:tab/>
        <w:t>Republications of amended laws</w:t>
      </w:r>
    </w:p>
    <w:p w14:paraId="09877B2D" w14:textId="59EE122D" w:rsidR="00CE358E" w:rsidRPr="00D17D0C" w:rsidRDefault="00CE358E" w:rsidP="00CE358E">
      <w:pPr>
        <w:pStyle w:val="EndNoteText"/>
      </w:pPr>
      <w:r w:rsidRPr="00D17D0C">
        <w:tab/>
        <w:t xml:space="preserve">For the latest republication of amended laws, see </w:t>
      </w:r>
      <w:hyperlink r:id="rId33" w:history="1">
        <w:r w:rsidR="008D03CD" w:rsidRPr="00D17D0C">
          <w:rPr>
            <w:rStyle w:val="charCitHyperlinkAbbrev"/>
          </w:rPr>
          <w:t>www.legislation.act.gov.au</w:t>
        </w:r>
      </w:hyperlink>
      <w:r w:rsidRPr="00D17D0C">
        <w:t>.</w:t>
      </w:r>
    </w:p>
    <w:p w14:paraId="2D8D2206" w14:textId="77777777" w:rsidR="00CE358E" w:rsidRPr="00D17D0C" w:rsidRDefault="00CE358E" w:rsidP="00CE358E">
      <w:pPr>
        <w:pStyle w:val="N-line2"/>
      </w:pPr>
    </w:p>
    <w:p w14:paraId="1A5F0E42" w14:textId="77777777" w:rsidR="00CE358E" w:rsidRPr="00D17D0C" w:rsidRDefault="00CE358E" w:rsidP="00CE358E"/>
    <w:p w14:paraId="0996AB34" w14:textId="77777777" w:rsidR="00D17D0C" w:rsidRDefault="00D17D0C">
      <w:pPr>
        <w:pStyle w:val="05EndNote"/>
        <w:sectPr w:rsidR="00D17D0C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3CF1C957" w14:textId="03DFC9B5" w:rsidR="00D252E0" w:rsidRDefault="00D252E0" w:rsidP="00CE358E"/>
    <w:p w14:paraId="3B49D3F6" w14:textId="56C25C26" w:rsidR="00D17D0C" w:rsidRDefault="00D17D0C" w:rsidP="00D17D0C"/>
    <w:p w14:paraId="7956135D" w14:textId="3D6BA0E4" w:rsidR="000253D1" w:rsidRDefault="000253D1" w:rsidP="00D17D0C"/>
    <w:p w14:paraId="65082DCE" w14:textId="211961B4" w:rsidR="000253D1" w:rsidRDefault="000253D1" w:rsidP="00D17D0C"/>
    <w:p w14:paraId="65C60B0F" w14:textId="77777777" w:rsidR="000253D1" w:rsidRDefault="000253D1" w:rsidP="00D17D0C"/>
    <w:p w14:paraId="5C736B4D" w14:textId="776D0431" w:rsidR="00D17D0C" w:rsidRDefault="00D17D0C" w:rsidP="00D17D0C">
      <w:pPr>
        <w:suppressLineNumbers/>
      </w:pPr>
    </w:p>
    <w:p w14:paraId="2C46B3BA" w14:textId="70B99ED6" w:rsidR="00D17D0C" w:rsidRDefault="00D17D0C" w:rsidP="00D17D0C">
      <w:pPr>
        <w:suppressLineNumbers/>
      </w:pPr>
    </w:p>
    <w:p w14:paraId="1C0F5E8C" w14:textId="6C32AFA3" w:rsidR="00D17D0C" w:rsidRDefault="00D17D0C" w:rsidP="00D17D0C">
      <w:pPr>
        <w:suppressLineNumbers/>
      </w:pPr>
    </w:p>
    <w:p w14:paraId="093762EC" w14:textId="67F085E5" w:rsidR="00D17D0C" w:rsidRDefault="00D17D0C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D17D0C" w:rsidSect="00D17D0C">
      <w:headerReference w:type="even" r:id="rId3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FACF" w14:textId="77777777" w:rsidR="004C4419" w:rsidRDefault="004C4419">
      <w:r>
        <w:separator/>
      </w:r>
    </w:p>
  </w:endnote>
  <w:endnote w:type="continuationSeparator" w:id="0">
    <w:p w14:paraId="1AB8C59F" w14:textId="77777777" w:rsidR="004C4419" w:rsidRDefault="004C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349F" w14:textId="1E6D3420" w:rsidR="00D17D0C" w:rsidRPr="001269DE" w:rsidRDefault="001269DE" w:rsidP="001269DE">
    <w:pPr>
      <w:pStyle w:val="Status"/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0F3F" w14:textId="77777777" w:rsidR="00D17D0C" w:rsidRDefault="00D17D0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17D0C" w14:paraId="6EBE0934" w14:textId="77777777">
      <w:trPr>
        <w:jc w:val="center"/>
      </w:trPr>
      <w:tc>
        <w:tcPr>
          <w:tcW w:w="1240" w:type="dxa"/>
        </w:tcPr>
        <w:p w14:paraId="25F3B449" w14:textId="77777777" w:rsidR="00D17D0C" w:rsidRDefault="00D17D0C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1582A8A" w14:textId="131134A8" w:rsidR="00D17D0C" w:rsidRDefault="001269D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D2766">
            <w:t>Gambling and Racing Control (Code of Practice) Amendment Regulation 2022 (No 1)</w:t>
          </w:r>
          <w:r>
            <w:fldChar w:fldCharType="end"/>
          </w:r>
        </w:p>
        <w:p w14:paraId="7E64B7B0" w14:textId="196E583A" w:rsidR="00D17D0C" w:rsidRDefault="001269D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D276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D276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D2766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8E7C6AE" w14:textId="368C92DA" w:rsidR="00D17D0C" w:rsidRDefault="001269DE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D2766">
            <w:t>SL2022-17</w:t>
          </w:r>
          <w:r>
            <w:fldChar w:fldCharType="end"/>
          </w:r>
          <w:r w:rsidR="00D17D0C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D2766">
            <w:t xml:space="preserve">  </w:t>
          </w:r>
          <w:r>
            <w:fldChar w:fldCharType="end"/>
          </w:r>
        </w:p>
      </w:tc>
    </w:tr>
  </w:tbl>
  <w:p w14:paraId="0B7403CF" w14:textId="053A7DA3" w:rsidR="00D17D0C" w:rsidRPr="001269DE" w:rsidRDefault="001269DE" w:rsidP="001269DE">
    <w:pPr>
      <w:pStyle w:val="Status"/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F185" w14:textId="77777777" w:rsidR="00D17D0C" w:rsidRDefault="00D17D0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17D0C" w14:paraId="4E4562A9" w14:textId="77777777">
      <w:trPr>
        <w:jc w:val="center"/>
      </w:trPr>
      <w:tc>
        <w:tcPr>
          <w:tcW w:w="1553" w:type="dxa"/>
        </w:tcPr>
        <w:p w14:paraId="712F54DA" w14:textId="3506691D" w:rsidR="00D17D0C" w:rsidRDefault="001269D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9D2766">
            <w:t>SL2022-17</w:t>
          </w:r>
          <w:r>
            <w:fldChar w:fldCharType="end"/>
          </w:r>
          <w:r w:rsidR="00D17D0C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9D2766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3FD731B9" w14:textId="6081823E" w:rsidR="00D17D0C" w:rsidRDefault="001269D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9D2766">
            <w:t>Gambling and Racing Control (Code of Practice) Amendment Regulation 2022 (No 1)</w:t>
          </w:r>
          <w:r>
            <w:fldChar w:fldCharType="end"/>
          </w:r>
        </w:p>
        <w:p w14:paraId="3D9B49DE" w14:textId="2B16E229" w:rsidR="00D17D0C" w:rsidRDefault="001269D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D276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D276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D2766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96DA451" w14:textId="77777777" w:rsidR="00D17D0C" w:rsidRDefault="00D17D0C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6E6BFD1" w14:textId="718B39EF" w:rsidR="00D17D0C" w:rsidRPr="001269DE" w:rsidRDefault="001269DE" w:rsidP="001269DE">
    <w:pPr>
      <w:pStyle w:val="Status"/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8634" w14:textId="038EF582" w:rsidR="00D17D0C" w:rsidRPr="001269DE" w:rsidRDefault="001269DE" w:rsidP="001269DE">
    <w:pPr>
      <w:pStyle w:val="Status"/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7714" w14:textId="30142932" w:rsidR="00D17D0C" w:rsidRDefault="00D17D0C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D2766">
      <w:rPr>
        <w:rFonts w:ascii="Arial" w:hAnsi="Arial"/>
        <w:sz w:val="12"/>
      </w:rPr>
      <w:t>J2021-1522</w:t>
    </w:r>
    <w:r>
      <w:rPr>
        <w:rFonts w:ascii="Arial" w:hAnsi="Arial"/>
        <w:sz w:val="12"/>
      </w:rPr>
      <w:fldChar w:fldCharType="end"/>
    </w:r>
  </w:p>
  <w:p w14:paraId="463DE6D9" w14:textId="58565886" w:rsidR="00D17D0C" w:rsidRPr="001269DE" w:rsidRDefault="001269DE" w:rsidP="001269DE">
    <w:pPr>
      <w:pStyle w:val="Status"/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5C5F" w14:textId="77777777" w:rsidR="00D17D0C" w:rsidRDefault="00D17D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D17D0C" w:rsidRPr="00CB3D59" w14:paraId="4DE8A268" w14:textId="77777777">
      <w:tc>
        <w:tcPr>
          <w:tcW w:w="845" w:type="pct"/>
        </w:tcPr>
        <w:p w14:paraId="635077A2" w14:textId="77777777" w:rsidR="00D17D0C" w:rsidRPr="0097645D" w:rsidRDefault="00D17D0C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10A7ADD" w14:textId="2548E69B" w:rsidR="00D17D0C" w:rsidRPr="00783A18" w:rsidRDefault="001269D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9D2766">
            <w:t>Gambling and Racing Control (Code of Practice) Amendment Regulation 2022 (No 1)</w:t>
          </w:r>
          <w:r>
            <w:fldChar w:fldCharType="end"/>
          </w:r>
        </w:p>
        <w:p w14:paraId="2A18312D" w14:textId="0E22FA06" w:rsidR="00D17D0C" w:rsidRPr="00783A18" w:rsidRDefault="00D17D0C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7D234A5C" w14:textId="6EBB3EE9" w:rsidR="00D17D0C" w:rsidRPr="00743346" w:rsidRDefault="00D17D0C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>SL2022-17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0AB5AB4" w14:textId="3F864614" w:rsidR="00D17D0C" w:rsidRPr="001269DE" w:rsidRDefault="001269DE" w:rsidP="001269DE">
    <w:pPr>
      <w:pStyle w:val="Status"/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CF0" w14:textId="77777777" w:rsidR="00D17D0C" w:rsidRDefault="00D17D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D17D0C" w:rsidRPr="00CB3D59" w14:paraId="01F45B44" w14:textId="77777777">
      <w:tc>
        <w:tcPr>
          <w:tcW w:w="1060" w:type="pct"/>
        </w:tcPr>
        <w:p w14:paraId="6D1411C0" w14:textId="277FC8BD" w:rsidR="00D17D0C" w:rsidRPr="00743346" w:rsidRDefault="00D17D0C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>SL2022-17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35F9E64B" w14:textId="75DB8CAD" w:rsidR="00D17D0C" w:rsidRPr="00783A18" w:rsidRDefault="001269D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9D2766">
            <w:t>Gambling and Racing Control (Code of Practice) Amendment Regulation 2022 (No 1)</w:t>
          </w:r>
          <w:r>
            <w:fldChar w:fldCharType="end"/>
          </w:r>
        </w:p>
        <w:p w14:paraId="4F048DB5" w14:textId="71FBCD26" w:rsidR="00D17D0C" w:rsidRPr="00783A18" w:rsidRDefault="00D17D0C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CBD3703" w14:textId="77777777" w:rsidR="00D17D0C" w:rsidRPr="0097645D" w:rsidRDefault="00D17D0C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65DE5D8" w14:textId="5B4D4CC0" w:rsidR="00D17D0C" w:rsidRPr="001269DE" w:rsidRDefault="001269DE" w:rsidP="001269DE">
    <w:pPr>
      <w:pStyle w:val="Status"/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E874" w14:textId="77777777" w:rsidR="00D17D0C" w:rsidRDefault="00D17D0C">
    <w:pPr>
      <w:rPr>
        <w:sz w:val="16"/>
      </w:rPr>
    </w:pPr>
  </w:p>
  <w:p w14:paraId="7B4B9FB3" w14:textId="31997022" w:rsidR="00D17D0C" w:rsidRDefault="00D17D0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D2766">
      <w:rPr>
        <w:rFonts w:ascii="Arial" w:hAnsi="Arial"/>
        <w:sz w:val="12"/>
      </w:rPr>
      <w:t>J2021-1522</w:t>
    </w:r>
    <w:r>
      <w:rPr>
        <w:rFonts w:ascii="Arial" w:hAnsi="Arial"/>
        <w:sz w:val="12"/>
      </w:rPr>
      <w:fldChar w:fldCharType="end"/>
    </w:r>
  </w:p>
  <w:p w14:paraId="1F3A9602" w14:textId="5E75766E" w:rsidR="00D17D0C" w:rsidRPr="001269DE" w:rsidRDefault="001269DE" w:rsidP="001269DE">
    <w:pPr>
      <w:pStyle w:val="Status"/>
      <w:tabs>
        <w:tab w:val="center" w:pos="3853"/>
        <w:tab w:val="left" w:pos="4575"/>
      </w:tabs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BE2" w14:textId="77777777" w:rsidR="00D17D0C" w:rsidRDefault="00D17D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17D0C" w:rsidRPr="00CB3D59" w14:paraId="321D423E" w14:textId="77777777">
      <w:tc>
        <w:tcPr>
          <w:tcW w:w="847" w:type="pct"/>
        </w:tcPr>
        <w:p w14:paraId="18512BA0" w14:textId="77777777" w:rsidR="00D17D0C" w:rsidRPr="006D109C" w:rsidRDefault="00D17D0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D03499A" w14:textId="58F8A880" w:rsidR="00D17D0C" w:rsidRPr="006D109C" w:rsidRDefault="00D17D0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D2766" w:rsidRPr="009D2766">
            <w:rPr>
              <w:rFonts w:cs="Arial"/>
              <w:szCs w:val="18"/>
            </w:rPr>
            <w:t>Gambling and Racing Control</w:t>
          </w:r>
          <w:r w:rsidR="009D2766">
            <w:t xml:space="preserve"> (Code of Practice) Amendment Regulation 2022 (No 1)</w:t>
          </w:r>
          <w:r>
            <w:rPr>
              <w:rFonts w:cs="Arial"/>
              <w:szCs w:val="18"/>
            </w:rPr>
            <w:fldChar w:fldCharType="end"/>
          </w:r>
        </w:p>
        <w:p w14:paraId="022B86CB" w14:textId="0C301F0B" w:rsidR="00D17D0C" w:rsidRPr="00783A18" w:rsidRDefault="00D17D0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ADED84F" w14:textId="6DC335A1" w:rsidR="00D17D0C" w:rsidRPr="006D109C" w:rsidRDefault="00D17D0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>SL2022-17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7831273" w14:textId="0762BA21" w:rsidR="00D17D0C" w:rsidRPr="001269DE" w:rsidRDefault="001269DE" w:rsidP="001269DE">
    <w:pPr>
      <w:pStyle w:val="Status"/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4848" w14:textId="77777777" w:rsidR="00D17D0C" w:rsidRDefault="00D17D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17D0C" w:rsidRPr="00CB3D59" w14:paraId="02D3F744" w14:textId="77777777">
      <w:tc>
        <w:tcPr>
          <w:tcW w:w="1061" w:type="pct"/>
        </w:tcPr>
        <w:p w14:paraId="61B6AB2D" w14:textId="45046BFB" w:rsidR="00D17D0C" w:rsidRPr="006D109C" w:rsidRDefault="00D17D0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>SL2022-17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7D1BFF4" w14:textId="64067C97" w:rsidR="00D17D0C" w:rsidRPr="006D109C" w:rsidRDefault="00D17D0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9D2766" w:rsidRPr="009D2766">
            <w:rPr>
              <w:rFonts w:cs="Arial"/>
              <w:szCs w:val="18"/>
            </w:rPr>
            <w:t>Gambling and Racing Control</w:t>
          </w:r>
          <w:r w:rsidR="009D2766">
            <w:t xml:space="preserve"> (Code of Practice) Amendment Regulation 2022 (No 1)</w:t>
          </w:r>
          <w:r>
            <w:rPr>
              <w:rFonts w:cs="Arial"/>
              <w:szCs w:val="18"/>
            </w:rPr>
            <w:fldChar w:fldCharType="end"/>
          </w:r>
        </w:p>
        <w:p w14:paraId="04BDCEFB" w14:textId="443E4760" w:rsidR="00D17D0C" w:rsidRPr="00783A18" w:rsidRDefault="00D17D0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D276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0BA36C6" w14:textId="77777777" w:rsidR="00D17D0C" w:rsidRPr="006D109C" w:rsidRDefault="00D17D0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8C19B10" w14:textId="1D3B4F6D" w:rsidR="00D17D0C" w:rsidRPr="001269DE" w:rsidRDefault="001269DE" w:rsidP="001269DE">
    <w:pPr>
      <w:pStyle w:val="Status"/>
      <w:rPr>
        <w:rFonts w:cs="Arial"/>
      </w:rPr>
    </w:pPr>
    <w:r w:rsidRPr="001269DE">
      <w:rPr>
        <w:rFonts w:cs="Arial"/>
      </w:rPr>
      <w:fldChar w:fldCharType="begin"/>
    </w:r>
    <w:r w:rsidRPr="001269DE">
      <w:rPr>
        <w:rFonts w:cs="Arial"/>
      </w:rPr>
      <w:instrText xml:space="preserve"> DOCPROPERTY "Status" </w:instrText>
    </w:r>
    <w:r w:rsidRPr="001269DE">
      <w:rPr>
        <w:rFonts w:cs="Arial"/>
      </w:rPr>
      <w:fldChar w:fldCharType="separate"/>
    </w:r>
    <w:r w:rsidR="009D2766" w:rsidRPr="001269DE">
      <w:rPr>
        <w:rFonts w:cs="Arial"/>
      </w:rPr>
      <w:t xml:space="preserve"> </w:t>
    </w:r>
    <w:r w:rsidRPr="001269DE">
      <w:rPr>
        <w:rFonts w:cs="Arial"/>
      </w:rPr>
      <w:fldChar w:fldCharType="end"/>
    </w:r>
    <w:r w:rsidRPr="001269DE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E327" w14:textId="77777777" w:rsidR="00D17D0C" w:rsidRDefault="00D17D0C">
    <w:pPr>
      <w:rPr>
        <w:sz w:val="16"/>
      </w:rPr>
    </w:pPr>
  </w:p>
  <w:p w14:paraId="579C124D" w14:textId="12543C6F" w:rsidR="00D17D0C" w:rsidRDefault="00D17D0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D2766">
      <w:rPr>
        <w:rFonts w:ascii="Arial" w:hAnsi="Arial"/>
        <w:sz w:val="12"/>
      </w:rPr>
      <w:t>J2021-1522</w:t>
    </w:r>
    <w:r>
      <w:rPr>
        <w:rFonts w:ascii="Arial" w:hAnsi="Arial"/>
        <w:sz w:val="12"/>
      </w:rPr>
      <w:fldChar w:fldCharType="end"/>
    </w:r>
  </w:p>
  <w:p w14:paraId="19770A96" w14:textId="274B0DDF" w:rsidR="00D17D0C" w:rsidRDefault="001269DE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9D2766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87FD" w14:textId="77777777" w:rsidR="004C4419" w:rsidRDefault="004C4419">
      <w:r>
        <w:separator/>
      </w:r>
    </w:p>
  </w:footnote>
  <w:footnote w:type="continuationSeparator" w:id="0">
    <w:p w14:paraId="4D20F425" w14:textId="77777777" w:rsidR="004C4419" w:rsidRDefault="004C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7B36" w14:textId="77777777" w:rsidR="00E827D2" w:rsidRDefault="00E827D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C0FEB8C" w14:textId="77777777" w:rsidTr="00567644">
      <w:trPr>
        <w:jc w:val="center"/>
      </w:trPr>
      <w:tc>
        <w:tcPr>
          <w:tcW w:w="1068" w:type="pct"/>
        </w:tcPr>
        <w:p w14:paraId="65696BA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8547B6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FC1C724" w14:textId="77777777" w:rsidTr="00567644">
      <w:trPr>
        <w:jc w:val="center"/>
      </w:trPr>
      <w:tc>
        <w:tcPr>
          <w:tcW w:w="1068" w:type="pct"/>
        </w:tcPr>
        <w:p w14:paraId="09CC49B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D3545C0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0BB2F9A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8019B9A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81DD374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455D" w14:textId="77777777" w:rsidR="00E827D2" w:rsidRDefault="00E82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8DED" w14:textId="77777777" w:rsidR="00E827D2" w:rsidRDefault="00E827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D17D0C" w:rsidRPr="00CB3D59" w14:paraId="2FAC8A83" w14:textId="77777777">
      <w:tc>
        <w:tcPr>
          <w:tcW w:w="900" w:type="pct"/>
        </w:tcPr>
        <w:p w14:paraId="434C7DA8" w14:textId="77777777" w:rsidR="00D17D0C" w:rsidRPr="00783A18" w:rsidRDefault="00D17D0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87D72DE" w14:textId="77777777" w:rsidR="00D17D0C" w:rsidRPr="00783A18" w:rsidRDefault="00D17D0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D17D0C" w:rsidRPr="00CB3D59" w14:paraId="0CC02B12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094A9198" w14:textId="2554B88D" w:rsidR="00D17D0C" w:rsidRPr="0097645D" w:rsidRDefault="001269DE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3410384" w14:textId="2090B1D4" w:rsidR="00D17D0C" w:rsidRDefault="00D17D0C">
    <w:pPr>
      <w:pStyle w:val="N-9pt"/>
    </w:pPr>
    <w:r>
      <w:tab/>
    </w:r>
    <w:r w:rsidR="001269DE">
      <w:fldChar w:fldCharType="begin"/>
    </w:r>
    <w:r w:rsidR="001269DE">
      <w:instrText xml:space="preserve"> STYLEREF charPage \* MERGEFORMAT </w:instrText>
    </w:r>
    <w:r w:rsidR="001269DE">
      <w:fldChar w:fldCharType="separate"/>
    </w:r>
    <w:r w:rsidR="001269DE">
      <w:rPr>
        <w:noProof/>
      </w:rPr>
      <w:t>Page</w:t>
    </w:r>
    <w:r w:rsidR="001269DE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D17D0C" w:rsidRPr="00CB3D59" w14:paraId="2F5D2F96" w14:textId="77777777">
      <w:tc>
        <w:tcPr>
          <w:tcW w:w="4100" w:type="pct"/>
        </w:tcPr>
        <w:p w14:paraId="59112B33" w14:textId="77777777" w:rsidR="00D17D0C" w:rsidRPr="00783A18" w:rsidRDefault="00D17D0C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02B330A1" w14:textId="77777777" w:rsidR="00D17D0C" w:rsidRPr="00783A18" w:rsidRDefault="00D17D0C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D17D0C" w:rsidRPr="00CB3D59" w14:paraId="3EB4D98D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4F74F95" w14:textId="25DA4117" w:rsidR="00D17D0C" w:rsidRPr="0097645D" w:rsidRDefault="00D17D0C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3B0AC892" w14:textId="34123B4E" w:rsidR="00D17D0C" w:rsidRDefault="00D17D0C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17D0C" w:rsidRPr="00CB3D59" w14:paraId="0AD394E9" w14:textId="77777777" w:rsidTr="003A49FD">
      <w:tc>
        <w:tcPr>
          <w:tcW w:w="1701" w:type="dxa"/>
        </w:tcPr>
        <w:p w14:paraId="446C5225" w14:textId="2144B364" w:rsidR="00D17D0C" w:rsidRPr="006D109C" w:rsidRDefault="00D17D0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0A982BC3" w14:textId="793F7579" w:rsidR="00D17D0C" w:rsidRPr="006D109C" w:rsidRDefault="00D17D0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17D0C" w:rsidRPr="00CB3D59" w14:paraId="17115637" w14:textId="77777777" w:rsidTr="003A49FD">
      <w:tc>
        <w:tcPr>
          <w:tcW w:w="1701" w:type="dxa"/>
        </w:tcPr>
        <w:p w14:paraId="7204638B" w14:textId="696BE731" w:rsidR="00D17D0C" w:rsidRPr="006D109C" w:rsidRDefault="00D17D0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2D6BAE7A" w14:textId="3BF88F3D" w:rsidR="00D17D0C" w:rsidRPr="006D109C" w:rsidRDefault="00D17D0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17D0C" w:rsidRPr="00CB3D59" w14:paraId="20F948E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F2531EF" w14:textId="7CF83000" w:rsidR="00D17D0C" w:rsidRPr="006D109C" w:rsidRDefault="00D17D0C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269DE">
            <w:rPr>
              <w:rFonts w:cs="Arial"/>
              <w:noProof/>
              <w:szCs w:val="18"/>
            </w:rPr>
            <w:t>24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66ED722" w14:textId="77777777" w:rsidR="00D17D0C" w:rsidRDefault="00D17D0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17D0C" w:rsidRPr="00CB3D59" w14:paraId="1E797FD9" w14:textId="77777777" w:rsidTr="003A49FD">
      <w:tc>
        <w:tcPr>
          <w:tcW w:w="6320" w:type="dxa"/>
        </w:tcPr>
        <w:p w14:paraId="6FA3E364" w14:textId="36DCDD5F" w:rsidR="00D17D0C" w:rsidRPr="006D109C" w:rsidRDefault="00D17D0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7D57703B" w14:textId="7E26D89B" w:rsidR="00D17D0C" w:rsidRPr="006D109C" w:rsidRDefault="00D17D0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D17D0C" w:rsidRPr="00CB3D59" w14:paraId="67230E96" w14:textId="77777777" w:rsidTr="003A49FD">
      <w:tc>
        <w:tcPr>
          <w:tcW w:w="6320" w:type="dxa"/>
        </w:tcPr>
        <w:p w14:paraId="362A576A" w14:textId="39E2DD14" w:rsidR="00D17D0C" w:rsidRPr="006D109C" w:rsidRDefault="00D17D0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11683E19" w14:textId="1D0F1A75" w:rsidR="00D17D0C" w:rsidRPr="006D109C" w:rsidRDefault="00D17D0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D17D0C" w:rsidRPr="00CB3D59" w14:paraId="0459E40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6F37199" w14:textId="51A0C977" w:rsidR="00D17D0C" w:rsidRPr="006D109C" w:rsidRDefault="00D17D0C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D276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269DE">
            <w:rPr>
              <w:rFonts w:cs="Arial"/>
              <w:noProof/>
              <w:szCs w:val="18"/>
            </w:rPr>
            <w:t>21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78CEA03" w14:textId="77777777" w:rsidR="00D17D0C" w:rsidRDefault="00D17D0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17D0C" w14:paraId="53DF3AB7" w14:textId="77777777">
      <w:trPr>
        <w:jc w:val="center"/>
      </w:trPr>
      <w:tc>
        <w:tcPr>
          <w:tcW w:w="1234" w:type="dxa"/>
        </w:tcPr>
        <w:p w14:paraId="7432AE86" w14:textId="77777777" w:rsidR="00D17D0C" w:rsidRDefault="00D17D0C">
          <w:pPr>
            <w:pStyle w:val="HeaderEven"/>
          </w:pPr>
        </w:p>
      </w:tc>
      <w:tc>
        <w:tcPr>
          <w:tcW w:w="6062" w:type="dxa"/>
        </w:tcPr>
        <w:p w14:paraId="575E3334" w14:textId="77777777" w:rsidR="00D17D0C" w:rsidRDefault="00D17D0C">
          <w:pPr>
            <w:pStyle w:val="HeaderEven"/>
          </w:pPr>
        </w:p>
      </w:tc>
    </w:tr>
    <w:tr w:rsidR="00D17D0C" w14:paraId="3672D6CF" w14:textId="77777777">
      <w:trPr>
        <w:jc w:val="center"/>
      </w:trPr>
      <w:tc>
        <w:tcPr>
          <w:tcW w:w="1234" w:type="dxa"/>
        </w:tcPr>
        <w:p w14:paraId="35DC5CBE" w14:textId="77777777" w:rsidR="00D17D0C" w:rsidRDefault="00D17D0C">
          <w:pPr>
            <w:pStyle w:val="HeaderEven"/>
          </w:pPr>
        </w:p>
      </w:tc>
      <w:tc>
        <w:tcPr>
          <w:tcW w:w="6062" w:type="dxa"/>
        </w:tcPr>
        <w:p w14:paraId="61DEABD4" w14:textId="77777777" w:rsidR="00D17D0C" w:rsidRDefault="00D17D0C">
          <w:pPr>
            <w:pStyle w:val="HeaderEven"/>
          </w:pPr>
        </w:p>
      </w:tc>
    </w:tr>
    <w:tr w:rsidR="00D17D0C" w14:paraId="2B130A6A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EA7812A" w14:textId="77777777" w:rsidR="00D17D0C" w:rsidRDefault="00D17D0C">
          <w:pPr>
            <w:pStyle w:val="HeaderEven6"/>
          </w:pPr>
        </w:p>
      </w:tc>
    </w:tr>
  </w:tbl>
  <w:p w14:paraId="14835C8D" w14:textId="77777777" w:rsidR="00D17D0C" w:rsidRDefault="00D17D0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17D0C" w14:paraId="6B15F380" w14:textId="77777777">
      <w:trPr>
        <w:jc w:val="center"/>
      </w:trPr>
      <w:tc>
        <w:tcPr>
          <w:tcW w:w="6062" w:type="dxa"/>
        </w:tcPr>
        <w:p w14:paraId="386E6861" w14:textId="77777777" w:rsidR="00D17D0C" w:rsidRDefault="00D17D0C">
          <w:pPr>
            <w:pStyle w:val="HeaderOdd"/>
          </w:pPr>
        </w:p>
      </w:tc>
      <w:tc>
        <w:tcPr>
          <w:tcW w:w="1234" w:type="dxa"/>
        </w:tcPr>
        <w:p w14:paraId="7EA71678" w14:textId="77777777" w:rsidR="00D17D0C" w:rsidRDefault="00D17D0C">
          <w:pPr>
            <w:pStyle w:val="HeaderOdd"/>
          </w:pPr>
        </w:p>
      </w:tc>
    </w:tr>
    <w:tr w:rsidR="00D17D0C" w14:paraId="65257550" w14:textId="77777777">
      <w:trPr>
        <w:jc w:val="center"/>
      </w:trPr>
      <w:tc>
        <w:tcPr>
          <w:tcW w:w="6062" w:type="dxa"/>
        </w:tcPr>
        <w:p w14:paraId="442B63B8" w14:textId="77777777" w:rsidR="00D17D0C" w:rsidRDefault="00D17D0C">
          <w:pPr>
            <w:pStyle w:val="HeaderOdd"/>
          </w:pPr>
        </w:p>
      </w:tc>
      <w:tc>
        <w:tcPr>
          <w:tcW w:w="1234" w:type="dxa"/>
        </w:tcPr>
        <w:p w14:paraId="4F9D6B2D" w14:textId="77777777" w:rsidR="00D17D0C" w:rsidRDefault="00D17D0C">
          <w:pPr>
            <w:pStyle w:val="HeaderOdd"/>
          </w:pPr>
        </w:p>
      </w:tc>
    </w:tr>
    <w:tr w:rsidR="00D17D0C" w14:paraId="012D3A4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9126157" w14:textId="77777777" w:rsidR="00D17D0C" w:rsidRDefault="00D17D0C">
          <w:pPr>
            <w:pStyle w:val="HeaderOdd6"/>
          </w:pPr>
        </w:p>
      </w:tc>
    </w:tr>
  </w:tbl>
  <w:p w14:paraId="3F223A78" w14:textId="77777777" w:rsidR="00D17D0C" w:rsidRDefault="00D17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D960C9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78760917">
    <w:abstractNumId w:val="25"/>
  </w:num>
  <w:num w:numId="2" w16cid:durableId="547764516">
    <w:abstractNumId w:val="20"/>
  </w:num>
  <w:num w:numId="3" w16cid:durableId="1749384873">
    <w:abstractNumId w:val="29"/>
  </w:num>
  <w:num w:numId="4" w16cid:durableId="582300817">
    <w:abstractNumId w:val="41"/>
  </w:num>
  <w:num w:numId="5" w16cid:durableId="164784113">
    <w:abstractNumId w:val="28"/>
  </w:num>
  <w:num w:numId="6" w16cid:durableId="475412735">
    <w:abstractNumId w:val="10"/>
  </w:num>
  <w:num w:numId="7" w16cid:durableId="1999575086">
    <w:abstractNumId w:val="32"/>
  </w:num>
  <w:num w:numId="8" w16cid:durableId="1875731568">
    <w:abstractNumId w:val="21"/>
  </w:num>
  <w:num w:numId="9" w16cid:durableId="452596916">
    <w:abstractNumId w:val="27"/>
  </w:num>
  <w:num w:numId="10" w16cid:durableId="1286692714">
    <w:abstractNumId w:val="40"/>
  </w:num>
  <w:num w:numId="11" w16cid:durableId="1311902696">
    <w:abstractNumId w:val="26"/>
  </w:num>
  <w:num w:numId="12" w16cid:durableId="803473100">
    <w:abstractNumId w:val="35"/>
  </w:num>
  <w:num w:numId="13" w16cid:durableId="997537182">
    <w:abstractNumId w:val="23"/>
  </w:num>
  <w:num w:numId="14" w16cid:durableId="520750631">
    <w:abstractNumId w:val="15"/>
  </w:num>
  <w:num w:numId="15" w16cid:durableId="1197885623">
    <w:abstractNumId w:val="36"/>
  </w:num>
  <w:num w:numId="16" w16cid:durableId="1673097898">
    <w:abstractNumId w:val="19"/>
  </w:num>
  <w:num w:numId="17" w16cid:durableId="952829820">
    <w:abstractNumId w:val="12"/>
  </w:num>
  <w:num w:numId="18" w16cid:durableId="1234583903">
    <w:abstractNumId w:val="33"/>
  </w:num>
  <w:num w:numId="19" w16cid:durableId="32854682">
    <w:abstractNumId w:val="42"/>
  </w:num>
  <w:num w:numId="20" w16cid:durableId="665209360">
    <w:abstractNumId w:val="33"/>
  </w:num>
  <w:num w:numId="21" w16cid:durableId="1486773999">
    <w:abstractNumId w:val="42"/>
    <w:lvlOverride w:ilvl="0">
      <w:startOverride w:val="1"/>
    </w:lvlOverride>
  </w:num>
  <w:num w:numId="22" w16cid:durableId="1093087539">
    <w:abstractNumId w:val="33"/>
  </w:num>
  <w:num w:numId="23" w16cid:durableId="382943185">
    <w:abstractNumId w:val="24"/>
  </w:num>
  <w:num w:numId="24" w16cid:durableId="1421752466">
    <w:abstractNumId w:val="43"/>
  </w:num>
  <w:num w:numId="25" w16cid:durableId="1915316940">
    <w:abstractNumId w:val="43"/>
  </w:num>
  <w:num w:numId="26" w16cid:durableId="538248127">
    <w:abstractNumId w:val="22"/>
  </w:num>
  <w:num w:numId="27" w16cid:durableId="1265108701">
    <w:abstractNumId w:val="18"/>
  </w:num>
  <w:num w:numId="28" w16cid:durableId="1390618325">
    <w:abstractNumId w:val="39"/>
  </w:num>
  <w:num w:numId="29" w16cid:durableId="810484439">
    <w:abstractNumId w:val="11"/>
  </w:num>
  <w:num w:numId="30" w16cid:durableId="1764064236">
    <w:abstractNumId w:val="31"/>
  </w:num>
  <w:num w:numId="31" w16cid:durableId="417292060">
    <w:abstractNumId w:val="26"/>
    <w:lvlOverride w:ilvl="0">
      <w:startOverride w:val="1"/>
    </w:lvlOverride>
  </w:num>
  <w:num w:numId="32" w16cid:durableId="1677345198">
    <w:abstractNumId w:val="16"/>
  </w:num>
  <w:num w:numId="33" w16cid:durableId="1986229902">
    <w:abstractNumId w:val="38"/>
  </w:num>
  <w:num w:numId="34" w16cid:durableId="2061391838">
    <w:abstractNumId w:val="3"/>
  </w:num>
  <w:num w:numId="35" w16cid:durableId="85345087">
    <w:abstractNumId w:val="43"/>
  </w:num>
  <w:num w:numId="36" w16cid:durableId="671953340">
    <w:abstractNumId w:val="43"/>
  </w:num>
  <w:num w:numId="37" w16cid:durableId="1520706025">
    <w:abstractNumId w:val="43"/>
  </w:num>
  <w:num w:numId="38" w16cid:durableId="658659250">
    <w:abstractNumId w:val="8"/>
  </w:num>
  <w:num w:numId="39" w16cid:durableId="555626568">
    <w:abstractNumId w:val="30"/>
  </w:num>
  <w:num w:numId="40" w16cid:durableId="2137481656">
    <w:abstractNumId w:val="9"/>
  </w:num>
  <w:num w:numId="41" w16cid:durableId="2083215701">
    <w:abstractNumId w:val="7"/>
  </w:num>
  <w:num w:numId="42" w16cid:durableId="2072922800">
    <w:abstractNumId w:val="6"/>
  </w:num>
  <w:num w:numId="43" w16cid:durableId="1731876729">
    <w:abstractNumId w:val="5"/>
  </w:num>
  <w:num w:numId="44" w16cid:durableId="834297042">
    <w:abstractNumId w:val="4"/>
  </w:num>
  <w:num w:numId="45" w16cid:durableId="660619805">
    <w:abstractNumId w:val="2"/>
  </w:num>
  <w:num w:numId="46" w16cid:durableId="1520506280">
    <w:abstractNumId w:val="1"/>
  </w:num>
  <w:num w:numId="47" w16cid:durableId="285083348">
    <w:abstractNumId w:val="0"/>
  </w:num>
  <w:num w:numId="48" w16cid:durableId="244606918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56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3D1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37C1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243A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3B72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269DE"/>
    <w:rsid w:val="0013046D"/>
    <w:rsid w:val="001315A1"/>
    <w:rsid w:val="00132957"/>
    <w:rsid w:val="001343A6"/>
    <w:rsid w:val="0013531D"/>
    <w:rsid w:val="00136FBE"/>
    <w:rsid w:val="00147781"/>
    <w:rsid w:val="00150851"/>
    <w:rsid w:val="00151141"/>
    <w:rsid w:val="001520FC"/>
    <w:rsid w:val="001533C1"/>
    <w:rsid w:val="00153482"/>
    <w:rsid w:val="00154977"/>
    <w:rsid w:val="001570F0"/>
    <w:rsid w:val="001572E4"/>
    <w:rsid w:val="00160DF7"/>
    <w:rsid w:val="00164204"/>
    <w:rsid w:val="00170907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0A5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21E6"/>
    <w:rsid w:val="001D53F0"/>
    <w:rsid w:val="001D56B4"/>
    <w:rsid w:val="001D73DF"/>
    <w:rsid w:val="001E0780"/>
    <w:rsid w:val="001E0BBC"/>
    <w:rsid w:val="001E1A01"/>
    <w:rsid w:val="001E41E3"/>
    <w:rsid w:val="001E4694"/>
    <w:rsid w:val="001E5518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40F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5253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0CC"/>
    <w:rsid w:val="002702D4"/>
    <w:rsid w:val="00272968"/>
    <w:rsid w:val="00273B6D"/>
    <w:rsid w:val="00274DBF"/>
    <w:rsid w:val="00275CE9"/>
    <w:rsid w:val="00282B0F"/>
    <w:rsid w:val="00287065"/>
    <w:rsid w:val="00290D70"/>
    <w:rsid w:val="00295907"/>
    <w:rsid w:val="0029692F"/>
    <w:rsid w:val="002A0D87"/>
    <w:rsid w:val="002A6F4D"/>
    <w:rsid w:val="002A756E"/>
    <w:rsid w:val="002B2682"/>
    <w:rsid w:val="002B4D04"/>
    <w:rsid w:val="002B58FC"/>
    <w:rsid w:val="002B5FB7"/>
    <w:rsid w:val="002C5DB3"/>
    <w:rsid w:val="002C7985"/>
    <w:rsid w:val="002D09CB"/>
    <w:rsid w:val="002D26EA"/>
    <w:rsid w:val="002D2A42"/>
    <w:rsid w:val="002D2FE5"/>
    <w:rsid w:val="002E01EA"/>
    <w:rsid w:val="002E144D"/>
    <w:rsid w:val="002E4527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1B67"/>
    <w:rsid w:val="00333078"/>
    <w:rsid w:val="003344D3"/>
    <w:rsid w:val="00336345"/>
    <w:rsid w:val="00342E3D"/>
    <w:rsid w:val="0034336E"/>
    <w:rsid w:val="0034583F"/>
    <w:rsid w:val="003462C2"/>
    <w:rsid w:val="003478D2"/>
    <w:rsid w:val="00353FF3"/>
    <w:rsid w:val="00355AD9"/>
    <w:rsid w:val="003574D1"/>
    <w:rsid w:val="00362272"/>
    <w:rsid w:val="00362B55"/>
    <w:rsid w:val="003646D5"/>
    <w:rsid w:val="003659ED"/>
    <w:rsid w:val="003700C0"/>
    <w:rsid w:val="00370AE8"/>
    <w:rsid w:val="00372EF0"/>
    <w:rsid w:val="00373665"/>
    <w:rsid w:val="0037423C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3FE0"/>
    <w:rsid w:val="003D49C7"/>
    <w:rsid w:val="003D4AAE"/>
    <w:rsid w:val="003D4C75"/>
    <w:rsid w:val="003D7254"/>
    <w:rsid w:val="003E0653"/>
    <w:rsid w:val="003E3C95"/>
    <w:rsid w:val="003E4A56"/>
    <w:rsid w:val="003E6B00"/>
    <w:rsid w:val="003E6F70"/>
    <w:rsid w:val="003E7FDB"/>
    <w:rsid w:val="003F06EE"/>
    <w:rsid w:val="003F097C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1EEB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5219"/>
    <w:rsid w:val="00456074"/>
    <w:rsid w:val="00457476"/>
    <w:rsid w:val="0046076C"/>
    <w:rsid w:val="00460A67"/>
    <w:rsid w:val="00461397"/>
    <w:rsid w:val="004614FB"/>
    <w:rsid w:val="00461D78"/>
    <w:rsid w:val="00462B21"/>
    <w:rsid w:val="00464372"/>
    <w:rsid w:val="00464581"/>
    <w:rsid w:val="00470B8D"/>
    <w:rsid w:val="004720FA"/>
    <w:rsid w:val="00472639"/>
    <w:rsid w:val="00472DD2"/>
    <w:rsid w:val="00475017"/>
    <w:rsid w:val="004751D3"/>
    <w:rsid w:val="00475F03"/>
    <w:rsid w:val="00476DCA"/>
    <w:rsid w:val="00480A8E"/>
    <w:rsid w:val="00482C91"/>
    <w:rsid w:val="004841F4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A4DD9"/>
    <w:rsid w:val="004B0E9D"/>
    <w:rsid w:val="004B5B98"/>
    <w:rsid w:val="004C2A16"/>
    <w:rsid w:val="004C4419"/>
    <w:rsid w:val="004C724A"/>
    <w:rsid w:val="004D16B8"/>
    <w:rsid w:val="004D2F7D"/>
    <w:rsid w:val="004D3555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07451"/>
    <w:rsid w:val="00512972"/>
    <w:rsid w:val="00512FF3"/>
    <w:rsid w:val="00514F25"/>
    <w:rsid w:val="00515082"/>
    <w:rsid w:val="00515B54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271FD"/>
    <w:rsid w:val="00531AF6"/>
    <w:rsid w:val="005337EA"/>
    <w:rsid w:val="0053499F"/>
    <w:rsid w:val="0053568B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55F8"/>
    <w:rsid w:val="005569CD"/>
    <w:rsid w:val="005570F0"/>
    <w:rsid w:val="005614A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54B0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4EB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1E0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57A6"/>
    <w:rsid w:val="00646AED"/>
    <w:rsid w:val="00646CA9"/>
    <w:rsid w:val="006473C1"/>
    <w:rsid w:val="00651669"/>
    <w:rsid w:val="00651FCE"/>
    <w:rsid w:val="006522E1"/>
    <w:rsid w:val="00654794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7E22"/>
    <w:rsid w:val="006B1548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5BBE"/>
    <w:rsid w:val="006D756E"/>
    <w:rsid w:val="006E0A8E"/>
    <w:rsid w:val="006E2568"/>
    <w:rsid w:val="006E272E"/>
    <w:rsid w:val="006E2DC7"/>
    <w:rsid w:val="006E590B"/>
    <w:rsid w:val="006F2595"/>
    <w:rsid w:val="006F6520"/>
    <w:rsid w:val="006F6DE7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4E65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4D9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5BA5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4EA0"/>
    <w:rsid w:val="00800B18"/>
    <w:rsid w:val="00801B56"/>
    <w:rsid w:val="008022E6"/>
    <w:rsid w:val="0080346F"/>
    <w:rsid w:val="00804649"/>
    <w:rsid w:val="00805ABB"/>
    <w:rsid w:val="00806717"/>
    <w:rsid w:val="00807BD0"/>
    <w:rsid w:val="008109A6"/>
    <w:rsid w:val="00810DFB"/>
    <w:rsid w:val="00811382"/>
    <w:rsid w:val="00811B13"/>
    <w:rsid w:val="008161D3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581A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2EDF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03CD"/>
    <w:rsid w:val="008D6275"/>
    <w:rsid w:val="008E04C8"/>
    <w:rsid w:val="008E08BE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2F17"/>
    <w:rsid w:val="00934806"/>
    <w:rsid w:val="009446BD"/>
    <w:rsid w:val="009453C3"/>
    <w:rsid w:val="009457DF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6748"/>
    <w:rsid w:val="00967AFD"/>
    <w:rsid w:val="00972325"/>
    <w:rsid w:val="00975A35"/>
    <w:rsid w:val="00976895"/>
    <w:rsid w:val="00981C9E"/>
    <w:rsid w:val="00982536"/>
    <w:rsid w:val="00984748"/>
    <w:rsid w:val="0098787C"/>
    <w:rsid w:val="00987D2C"/>
    <w:rsid w:val="00993D24"/>
    <w:rsid w:val="009966FF"/>
    <w:rsid w:val="00997034"/>
    <w:rsid w:val="009971A9"/>
    <w:rsid w:val="009A0FDB"/>
    <w:rsid w:val="009A32C6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2766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8C6"/>
    <w:rsid w:val="009F7D15"/>
    <w:rsid w:val="009F7F80"/>
    <w:rsid w:val="00A04A82"/>
    <w:rsid w:val="00A05C7B"/>
    <w:rsid w:val="00A05FB5"/>
    <w:rsid w:val="00A07051"/>
    <w:rsid w:val="00A0780F"/>
    <w:rsid w:val="00A11572"/>
    <w:rsid w:val="00A11773"/>
    <w:rsid w:val="00A11A8D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11DE"/>
    <w:rsid w:val="00A4319D"/>
    <w:rsid w:val="00A43BFF"/>
    <w:rsid w:val="00A44EBA"/>
    <w:rsid w:val="00A464E4"/>
    <w:rsid w:val="00A476AE"/>
    <w:rsid w:val="00A5076F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766A"/>
    <w:rsid w:val="00A919E1"/>
    <w:rsid w:val="00A93CC6"/>
    <w:rsid w:val="00A97C49"/>
    <w:rsid w:val="00AA09C8"/>
    <w:rsid w:val="00AA2F82"/>
    <w:rsid w:val="00AA42D4"/>
    <w:rsid w:val="00AA4F7F"/>
    <w:rsid w:val="00AA58FD"/>
    <w:rsid w:val="00AA6D95"/>
    <w:rsid w:val="00AA78AB"/>
    <w:rsid w:val="00AB13F3"/>
    <w:rsid w:val="00AB1A6B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0656"/>
    <w:rsid w:val="00AE3DC2"/>
    <w:rsid w:val="00AE4E81"/>
    <w:rsid w:val="00AE4ED6"/>
    <w:rsid w:val="00AE541E"/>
    <w:rsid w:val="00AE56F2"/>
    <w:rsid w:val="00AE6611"/>
    <w:rsid w:val="00AE6A93"/>
    <w:rsid w:val="00AE7A99"/>
    <w:rsid w:val="00AF2818"/>
    <w:rsid w:val="00B007EF"/>
    <w:rsid w:val="00B01C0E"/>
    <w:rsid w:val="00B02798"/>
    <w:rsid w:val="00B02B41"/>
    <w:rsid w:val="00B0371D"/>
    <w:rsid w:val="00B04F31"/>
    <w:rsid w:val="00B12806"/>
    <w:rsid w:val="00B12F98"/>
    <w:rsid w:val="00B13D29"/>
    <w:rsid w:val="00B15B90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0C30"/>
    <w:rsid w:val="00B620F6"/>
    <w:rsid w:val="00B666F6"/>
    <w:rsid w:val="00B6704F"/>
    <w:rsid w:val="00B71167"/>
    <w:rsid w:val="00B724E8"/>
    <w:rsid w:val="00B72802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66A4"/>
    <w:rsid w:val="00B975EA"/>
    <w:rsid w:val="00BA0398"/>
    <w:rsid w:val="00BA08B4"/>
    <w:rsid w:val="00BA268E"/>
    <w:rsid w:val="00BA27C8"/>
    <w:rsid w:val="00BA5216"/>
    <w:rsid w:val="00BA6F19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1AF6"/>
    <w:rsid w:val="00BD3506"/>
    <w:rsid w:val="00BD4302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1F6"/>
    <w:rsid w:val="00C553CE"/>
    <w:rsid w:val="00C61DA2"/>
    <w:rsid w:val="00C65288"/>
    <w:rsid w:val="00C66894"/>
    <w:rsid w:val="00C67A6D"/>
    <w:rsid w:val="00C70130"/>
    <w:rsid w:val="00C71B6A"/>
    <w:rsid w:val="00C74A15"/>
    <w:rsid w:val="00C770D6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5BE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0F64"/>
    <w:rsid w:val="00CC19E0"/>
    <w:rsid w:val="00CC40AF"/>
    <w:rsid w:val="00CC4A39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164B"/>
    <w:rsid w:val="00CE307C"/>
    <w:rsid w:val="00CE358E"/>
    <w:rsid w:val="00CE3DFA"/>
    <w:rsid w:val="00CE4265"/>
    <w:rsid w:val="00CE6EA1"/>
    <w:rsid w:val="00CE6FA1"/>
    <w:rsid w:val="00CF1542"/>
    <w:rsid w:val="00CF1953"/>
    <w:rsid w:val="00CF2697"/>
    <w:rsid w:val="00CF4D23"/>
    <w:rsid w:val="00CF6FCA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17D0C"/>
    <w:rsid w:val="00D20733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1C6"/>
    <w:rsid w:val="00D63802"/>
    <w:rsid w:val="00D63A38"/>
    <w:rsid w:val="00D64727"/>
    <w:rsid w:val="00D67262"/>
    <w:rsid w:val="00D72E30"/>
    <w:rsid w:val="00D8098E"/>
    <w:rsid w:val="00D8155E"/>
    <w:rsid w:val="00D84FB5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383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18DC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27D2"/>
    <w:rsid w:val="00E83DB1"/>
    <w:rsid w:val="00E84E6A"/>
    <w:rsid w:val="00E85C22"/>
    <w:rsid w:val="00E868AB"/>
    <w:rsid w:val="00E875B2"/>
    <w:rsid w:val="00E92F84"/>
    <w:rsid w:val="00E93562"/>
    <w:rsid w:val="00E9774F"/>
    <w:rsid w:val="00EA292B"/>
    <w:rsid w:val="00EA4A47"/>
    <w:rsid w:val="00EA737E"/>
    <w:rsid w:val="00EA76D0"/>
    <w:rsid w:val="00EB0B69"/>
    <w:rsid w:val="00EB0EB4"/>
    <w:rsid w:val="00EB1433"/>
    <w:rsid w:val="00EB28A4"/>
    <w:rsid w:val="00EB3272"/>
    <w:rsid w:val="00EB33B2"/>
    <w:rsid w:val="00EB60D9"/>
    <w:rsid w:val="00EB627F"/>
    <w:rsid w:val="00EC0738"/>
    <w:rsid w:val="00EC078A"/>
    <w:rsid w:val="00EC2D17"/>
    <w:rsid w:val="00EC337E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0EB0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39BB"/>
    <w:rsid w:val="00F53F4C"/>
    <w:rsid w:val="00F54850"/>
    <w:rsid w:val="00F553D8"/>
    <w:rsid w:val="00F57421"/>
    <w:rsid w:val="00F60EAF"/>
    <w:rsid w:val="00F62247"/>
    <w:rsid w:val="00F65448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092C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7CFE3"/>
  <w15:docId w15:val="{5B7785A3-64CF-4B47-81A0-67E51F93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0C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17D0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17D0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17D0C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17D0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24525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4525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4525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4525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4525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17D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17D0C"/>
  </w:style>
  <w:style w:type="paragraph" w:customStyle="1" w:styleId="00ClientCover">
    <w:name w:val="00ClientCover"/>
    <w:basedOn w:val="Normal"/>
    <w:rsid w:val="00D17D0C"/>
  </w:style>
  <w:style w:type="paragraph" w:customStyle="1" w:styleId="02Text">
    <w:name w:val="02Text"/>
    <w:basedOn w:val="Normal"/>
    <w:rsid w:val="00D17D0C"/>
  </w:style>
  <w:style w:type="paragraph" w:customStyle="1" w:styleId="BillBasic">
    <w:name w:val="BillBasic"/>
    <w:link w:val="BillBasicChar"/>
    <w:rsid w:val="00D17D0C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17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17D0C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17D0C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17D0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17D0C"/>
    <w:pPr>
      <w:spacing w:before="240"/>
    </w:pPr>
  </w:style>
  <w:style w:type="paragraph" w:customStyle="1" w:styleId="EnactingWords">
    <w:name w:val="EnactingWords"/>
    <w:basedOn w:val="BillBasic"/>
    <w:rsid w:val="00D17D0C"/>
    <w:pPr>
      <w:spacing w:before="120"/>
    </w:pPr>
  </w:style>
  <w:style w:type="paragraph" w:customStyle="1" w:styleId="Amain">
    <w:name w:val="A main"/>
    <w:basedOn w:val="BillBasic"/>
    <w:rsid w:val="00D17D0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17D0C"/>
    <w:pPr>
      <w:ind w:left="1100"/>
    </w:pPr>
  </w:style>
  <w:style w:type="paragraph" w:customStyle="1" w:styleId="Apara">
    <w:name w:val="A para"/>
    <w:basedOn w:val="BillBasic"/>
    <w:rsid w:val="00D17D0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17D0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17D0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17D0C"/>
    <w:pPr>
      <w:ind w:left="1100"/>
    </w:pPr>
  </w:style>
  <w:style w:type="paragraph" w:customStyle="1" w:styleId="aExamHead">
    <w:name w:val="aExam Head"/>
    <w:basedOn w:val="BillBasicHeading"/>
    <w:next w:val="aExam"/>
    <w:rsid w:val="00D17D0C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17D0C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17D0C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17D0C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17D0C"/>
    <w:pPr>
      <w:spacing w:before="120" w:after="60"/>
    </w:pPr>
  </w:style>
  <w:style w:type="paragraph" w:customStyle="1" w:styleId="HeaderOdd6">
    <w:name w:val="HeaderOdd6"/>
    <w:basedOn w:val="HeaderEven6"/>
    <w:rsid w:val="00D17D0C"/>
    <w:pPr>
      <w:jc w:val="right"/>
    </w:pPr>
  </w:style>
  <w:style w:type="paragraph" w:customStyle="1" w:styleId="HeaderOdd">
    <w:name w:val="HeaderOdd"/>
    <w:basedOn w:val="HeaderEven"/>
    <w:rsid w:val="00D17D0C"/>
    <w:pPr>
      <w:jc w:val="right"/>
    </w:pPr>
  </w:style>
  <w:style w:type="paragraph" w:customStyle="1" w:styleId="N-TOCheading">
    <w:name w:val="N-TOCheading"/>
    <w:basedOn w:val="BillBasicHeading"/>
    <w:next w:val="N-9pt"/>
    <w:rsid w:val="00D17D0C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17D0C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17D0C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17D0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17D0C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17D0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17D0C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17D0C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17D0C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17D0C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17D0C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17D0C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17D0C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17D0C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17D0C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17D0C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17D0C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17D0C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17D0C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17D0C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17D0C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17D0C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17D0C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24525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17D0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17D0C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17D0C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17D0C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17D0C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17D0C"/>
    <w:rPr>
      <w:rFonts w:ascii="Arial" w:hAnsi="Arial"/>
      <w:sz w:val="16"/>
    </w:rPr>
  </w:style>
  <w:style w:type="paragraph" w:customStyle="1" w:styleId="PageBreak">
    <w:name w:val="PageBreak"/>
    <w:basedOn w:val="Normal"/>
    <w:rsid w:val="00D17D0C"/>
    <w:rPr>
      <w:sz w:val="4"/>
    </w:rPr>
  </w:style>
  <w:style w:type="paragraph" w:customStyle="1" w:styleId="04Dictionary">
    <w:name w:val="04Dictionary"/>
    <w:basedOn w:val="Normal"/>
    <w:rsid w:val="00D17D0C"/>
  </w:style>
  <w:style w:type="paragraph" w:customStyle="1" w:styleId="N-line1">
    <w:name w:val="N-line1"/>
    <w:basedOn w:val="BillBasic"/>
    <w:rsid w:val="00D17D0C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17D0C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17D0C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17D0C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17D0C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17D0C"/>
  </w:style>
  <w:style w:type="paragraph" w:customStyle="1" w:styleId="03Schedule">
    <w:name w:val="03Schedule"/>
    <w:basedOn w:val="Normal"/>
    <w:rsid w:val="00D17D0C"/>
  </w:style>
  <w:style w:type="paragraph" w:customStyle="1" w:styleId="ISched-heading">
    <w:name w:val="I Sched-heading"/>
    <w:basedOn w:val="BillBasicHeading"/>
    <w:next w:val="Normal"/>
    <w:rsid w:val="00D17D0C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17D0C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17D0C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17D0C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17D0C"/>
  </w:style>
  <w:style w:type="paragraph" w:customStyle="1" w:styleId="Ipara">
    <w:name w:val="I para"/>
    <w:basedOn w:val="Apara"/>
    <w:rsid w:val="00D17D0C"/>
    <w:pPr>
      <w:outlineLvl w:val="9"/>
    </w:pPr>
  </w:style>
  <w:style w:type="paragraph" w:customStyle="1" w:styleId="Isubpara">
    <w:name w:val="I subpara"/>
    <w:basedOn w:val="Asubpara"/>
    <w:rsid w:val="00D17D0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17D0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17D0C"/>
  </w:style>
  <w:style w:type="character" w:customStyle="1" w:styleId="CharDivNo">
    <w:name w:val="CharDivNo"/>
    <w:basedOn w:val="DefaultParagraphFont"/>
    <w:rsid w:val="00D17D0C"/>
  </w:style>
  <w:style w:type="character" w:customStyle="1" w:styleId="CharDivText">
    <w:name w:val="CharDivText"/>
    <w:basedOn w:val="DefaultParagraphFont"/>
    <w:rsid w:val="00D17D0C"/>
  </w:style>
  <w:style w:type="character" w:customStyle="1" w:styleId="CharPartNo">
    <w:name w:val="CharPartNo"/>
    <w:basedOn w:val="DefaultParagraphFont"/>
    <w:rsid w:val="00D17D0C"/>
  </w:style>
  <w:style w:type="paragraph" w:customStyle="1" w:styleId="Placeholder">
    <w:name w:val="Placeholder"/>
    <w:basedOn w:val="Normal"/>
    <w:rsid w:val="00D17D0C"/>
    <w:rPr>
      <w:sz w:val="10"/>
    </w:rPr>
  </w:style>
  <w:style w:type="paragraph" w:styleId="PlainText">
    <w:name w:val="Plain Text"/>
    <w:basedOn w:val="Normal"/>
    <w:rsid w:val="00D17D0C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17D0C"/>
  </w:style>
  <w:style w:type="character" w:customStyle="1" w:styleId="CharChapText">
    <w:name w:val="CharChapText"/>
    <w:basedOn w:val="DefaultParagraphFont"/>
    <w:rsid w:val="00D17D0C"/>
  </w:style>
  <w:style w:type="character" w:customStyle="1" w:styleId="CharPartText">
    <w:name w:val="CharPartText"/>
    <w:basedOn w:val="DefaultParagraphFont"/>
    <w:rsid w:val="00D17D0C"/>
  </w:style>
  <w:style w:type="paragraph" w:styleId="TOC1">
    <w:name w:val="toc 1"/>
    <w:basedOn w:val="Normal"/>
    <w:next w:val="Normal"/>
    <w:autoRedefine/>
    <w:rsid w:val="00D17D0C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17D0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17D0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D17D0C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17D0C"/>
  </w:style>
  <w:style w:type="paragraph" w:styleId="Title">
    <w:name w:val="Title"/>
    <w:basedOn w:val="Normal"/>
    <w:qFormat/>
    <w:rsid w:val="0024525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17D0C"/>
    <w:pPr>
      <w:ind w:left="4252"/>
    </w:pPr>
  </w:style>
  <w:style w:type="paragraph" w:customStyle="1" w:styleId="ActNo">
    <w:name w:val="ActNo"/>
    <w:basedOn w:val="BillBasicHeading"/>
    <w:rsid w:val="00D17D0C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17D0C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17D0C"/>
    <w:pPr>
      <w:ind w:left="1500" w:hanging="400"/>
    </w:pPr>
  </w:style>
  <w:style w:type="paragraph" w:customStyle="1" w:styleId="LongTitle">
    <w:name w:val="LongTitle"/>
    <w:basedOn w:val="BillBasic"/>
    <w:rsid w:val="00D17D0C"/>
    <w:pPr>
      <w:spacing w:before="300"/>
    </w:pPr>
  </w:style>
  <w:style w:type="paragraph" w:customStyle="1" w:styleId="Minister">
    <w:name w:val="Minister"/>
    <w:basedOn w:val="BillBasic"/>
    <w:rsid w:val="00D17D0C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17D0C"/>
    <w:pPr>
      <w:tabs>
        <w:tab w:val="left" w:pos="4320"/>
      </w:tabs>
    </w:pPr>
  </w:style>
  <w:style w:type="paragraph" w:customStyle="1" w:styleId="madeunder">
    <w:name w:val="made under"/>
    <w:basedOn w:val="BillBasic"/>
    <w:rsid w:val="00D17D0C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245253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17D0C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17D0C"/>
    <w:rPr>
      <w:i/>
    </w:rPr>
  </w:style>
  <w:style w:type="paragraph" w:customStyle="1" w:styleId="00SigningPage">
    <w:name w:val="00SigningPage"/>
    <w:basedOn w:val="Normal"/>
    <w:rsid w:val="00D17D0C"/>
  </w:style>
  <w:style w:type="paragraph" w:customStyle="1" w:styleId="Aparareturn">
    <w:name w:val="A para return"/>
    <w:basedOn w:val="BillBasic"/>
    <w:rsid w:val="00D17D0C"/>
    <w:pPr>
      <w:ind w:left="1600"/>
    </w:pPr>
  </w:style>
  <w:style w:type="paragraph" w:customStyle="1" w:styleId="Asubparareturn">
    <w:name w:val="A subpara return"/>
    <w:basedOn w:val="BillBasic"/>
    <w:rsid w:val="00D17D0C"/>
    <w:pPr>
      <w:ind w:left="2100"/>
    </w:pPr>
  </w:style>
  <w:style w:type="paragraph" w:customStyle="1" w:styleId="CommentNum">
    <w:name w:val="CommentNum"/>
    <w:basedOn w:val="Comment"/>
    <w:rsid w:val="00D17D0C"/>
    <w:pPr>
      <w:ind w:left="1800" w:hanging="1800"/>
    </w:pPr>
  </w:style>
  <w:style w:type="paragraph" w:styleId="TOC8">
    <w:name w:val="toc 8"/>
    <w:basedOn w:val="TOC3"/>
    <w:next w:val="Normal"/>
    <w:autoRedefine/>
    <w:rsid w:val="00D17D0C"/>
    <w:pPr>
      <w:keepNext w:val="0"/>
      <w:spacing w:before="120"/>
    </w:pPr>
  </w:style>
  <w:style w:type="paragraph" w:customStyle="1" w:styleId="Judges">
    <w:name w:val="Judges"/>
    <w:basedOn w:val="Minister"/>
    <w:rsid w:val="00D17D0C"/>
    <w:pPr>
      <w:spacing w:before="180"/>
    </w:pPr>
  </w:style>
  <w:style w:type="paragraph" w:customStyle="1" w:styleId="BillFor">
    <w:name w:val="BillFor"/>
    <w:basedOn w:val="BillBasicHeading"/>
    <w:rsid w:val="00D17D0C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17D0C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17D0C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17D0C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17D0C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17D0C"/>
    <w:pPr>
      <w:spacing w:before="60"/>
      <w:ind w:left="2540" w:hanging="400"/>
    </w:pPr>
  </w:style>
  <w:style w:type="paragraph" w:customStyle="1" w:styleId="aDefpara">
    <w:name w:val="aDef para"/>
    <w:basedOn w:val="Apara"/>
    <w:rsid w:val="00D17D0C"/>
  </w:style>
  <w:style w:type="paragraph" w:customStyle="1" w:styleId="aDefsubpara">
    <w:name w:val="aDef subpara"/>
    <w:basedOn w:val="Asubpara"/>
    <w:rsid w:val="00D17D0C"/>
  </w:style>
  <w:style w:type="paragraph" w:customStyle="1" w:styleId="Idefpara">
    <w:name w:val="I def para"/>
    <w:basedOn w:val="Ipara"/>
    <w:rsid w:val="00D17D0C"/>
  </w:style>
  <w:style w:type="paragraph" w:customStyle="1" w:styleId="Idefsubpara">
    <w:name w:val="I def subpara"/>
    <w:basedOn w:val="Isubpara"/>
    <w:rsid w:val="00D17D0C"/>
  </w:style>
  <w:style w:type="paragraph" w:customStyle="1" w:styleId="Notified">
    <w:name w:val="Notified"/>
    <w:basedOn w:val="BillBasic"/>
    <w:rsid w:val="00D17D0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17D0C"/>
  </w:style>
  <w:style w:type="paragraph" w:customStyle="1" w:styleId="IDict-Heading">
    <w:name w:val="I Dict-Heading"/>
    <w:basedOn w:val="BillBasicHeading"/>
    <w:rsid w:val="00D17D0C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17D0C"/>
  </w:style>
  <w:style w:type="paragraph" w:styleId="Salutation">
    <w:name w:val="Salutation"/>
    <w:basedOn w:val="Normal"/>
    <w:next w:val="Normal"/>
    <w:rsid w:val="00245253"/>
  </w:style>
  <w:style w:type="paragraph" w:customStyle="1" w:styleId="aNoteBullet">
    <w:name w:val="aNoteBullet"/>
    <w:basedOn w:val="aNoteSymb"/>
    <w:rsid w:val="00D17D0C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24525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17D0C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17D0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17D0C"/>
    <w:pPr>
      <w:spacing w:before="60"/>
      <w:ind w:firstLine="0"/>
    </w:pPr>
  </w:style>
  <w:style w:type="paragraph" w:customStyle="1" w:styleId="MinisterWord">
    <w:name w:val="MinisterWord"/>
    <w:basedOn w:val="Normal"/>
    <w:rsid w:val="00D17D0C"/>
    <w:pPr>
      <w:spacing w:before="60"/>
      <w:jc w:val="right"/>
    </w:pPr>
  </w:style>
  <w:style w:type="paragraph" w:customStyle="1" w:styleId="aExamPara">
    <w:name w:val="aExamPara"/>
    <w:basedOn w:val="aExam"/>
    <w:rsid w:val="00D17D0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17D0C"/>
    <w:pPr>
      <w:ind w:left="1500"/>
    </w:pPr>
  </w:style>
  <w:style w:type="paragraph" w:customStyle="1" w:styleId="aExamBullet">
    <w:name w:val="aExamBullet"/>
    <w:basedOn w:val="aExam"/>
    <w:rsid w:val="00D17D0C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17D0C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17D0C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17D0C"/>
    <w:rPr>
      <w:sz w:val="20"/>
    </w:rPr>
  </w:style>
  <w:style w:type="paragraph" w:customStyle="1" w:styleId="aParaNotePara">
    <w:name w:val="aParaNotePara"/>
    <w:basedOn w:val="aNoteParaSymb"/>
    <w:rsid w:val="00D17D0C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17D0C"/>
    <w:rPr>
      <w:b/>
    </w:rPr>
  </w:style>
  <w:style w:type="character" w:customStyle="1" w:styleId="charBoldItals">
    <w:name w:val="charBoldItals"/>
    <w:basedOn w:val="DefaultParagraphFont"/>
    <w:rsid w:val="00D17D0C"/>
    <w:rPr>
      <w:b/>
      <w:i/>
    </w:rPr>
  </w:style>
  <w:style w:type="character" w:customStyle="1" w:styleId="charItals">
    <w:name w:val="charItals"/>
    <w:basedOn w:val="DefaultParagraphFont"/>
    <w:rsid w:val="00D17D0C"/>
    <w:rPr>
      <w:i/>
    </w:rPr>
  </w:style>
  <w:style w:type="character" w:customStyle="1" w:styleId="charUnderline">
    <w:name w:val="charUnderline"/>
    <w:basedOn w:val="DefaultParagraphFont"/>
    <w:rsid w:val="00D17D0C"/>
    <w:rPr>
      <w:u w:val="single"/>
    </w:rPr>
  </w:style>
  <w:style w:type="paragraph" w:customStyle="1" w:styleId="TableHd">
    <w:name w:val="TableHd"/>
    <w:basedOn w:val="Normal"/>
    <w:rsid w:val="00D17D0C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17D0C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17D0C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17D0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17D0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17D0C"/>
    <w:pPr>
      <w:spacing w:before="60" w:after="60"/>
    </w:pPr>
  </w:style>
  <w:style w:type="paragraph" w:customStyle="1" w:styleId="IshadedH5Sec">
    <w:name w:val="I shaded H5 Sec"/>
    <w:basedOn w:val="AH5Sec"/>
    <w:rsid w:val="00D17D0C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17D0C"/>
  </w:style>
  <w:style w:type="paragraph" w:customStyle="1" w:styleId="Penalty">
    <w:name w:val="Penalty"/>
    <w:basedOn w:val="Amainreturn"/>
    <w:rsid w:val="00D17D0C"/>
  </w:style>
  <w:style w:type="paragraph" w:customStyle="1" w:styleId="aNoteText">
    <w:name w:val="aNoteText"/>
    <w:basedOn w:val="aNoteSymb"/>
    <w:rsid w:val="00D17D0C"/>
    <w:pPr>
      <w:spacing w:before="60"/>
      <w:ind w:firstLine="0"/>
    </w:pPr>
  </w:style>
  <w:style w:type="paragraph" w:customStyle="1" w:styleId="aExamINum">
    <w:name w:val="aExamINum"/>
    <w:basedOn w:val="aExam"/>
    <w:rsid w:val="0024525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17D0C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245253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17D0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17D0C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17D0C"/>
    <w:pPr>
      <w:ind w:left="1600"/>
    </w:pPr>
  </w:style>
  <w:style w:type="paragraph" w:customStyle="1" w:styleId="aExampar">
    <w:name w:val="aExampar"/>
    <w:basedOn w:val="aExamss"/>
    <w:rsid w:val="00D17D0C"/>
    <w:pPr>
      <w:ind w:left="1600"/>
    </w:pPr>
  </w:style>
  <w:style w:type="paragraph" w:customStyle="1" w:styleId="aExamINumss">
    <w:name w:val="aExamINumss"/>
    <w:basedOn w:val="aExamss"/>
    <w:rsid w:val="00D17D0C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17D0C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17D0C"/>
    <w:pPr>
      <w:ind w:left="1500"/>
    </w:pPr>
  </w:style>
  <w:style w:type="paragraph" w:customStyle="1" w:styleId="aExamNumTextpar">
    <w:name w:val="aExamNumTextpar"/>
    <w:basedOn w:val="aExampar"/>
    <w:rsid w:val="00245253"/>
    <w:pPr>
      <w:ind w:left="2000"/>
    </w:pPr>
  </w:style>
  <w:style w:type="paragraph" w:customStyle="1" w:styleId="aExamBulletss">
    <w:name w:val="aExamBulletss"/>
    <w:basedOn w:val="aExamss"/>
    <w:rsid w:val="00D17D0C"/>
    <w:pPr>
      <w:ind w:left="1500" w:hanging="400"/>
    </w:pPr>
  </w:style>
  <w:style w:type="paragraph" w:customStyle="1" w:styleId="aExamBulletpar">
    <w:name w:val="aExamBulletpar"/>
    <w:basedOn w:val="aExampar"/>
    <w:rsid w:val="00D17D0C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17D0C"/>
    <w:pPr>
      <w:ind w:left="2140"/>
    </w:pPr>
  </w:style>
  <w:style w:type="paragraph" w:customStyle="1" w:styleId="aExamsubpar">
    <w:name w:val="aExamsubpar"/>
    <w:basedOn w:val="aExamss"/>
    <w:rsid w:val="00D17D0C"/>
    <w:pPr>
      <w:ind w:left="2140"/>
    </w:pPr>
  </w:style>
  <w:style w:type="paragraph" w:customStyle="1" w:styleId="aExamNumsubpar">
    <w:name w:val="aExamNumsubpar"/>
    <w:basedOn w:val="aExamsubpar"/>
    <w:rsid w:val="00D17D0C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245253"/>
    <w:pPr>
      <w:ind w:left="2540"/>
    </w:pPr>
  </w:style>
  <w:style w:type="paragraph" w:customStyle="1" w:styleId="aExamBulletsubpar">
    <w:name w:val="aExamBulletsubpar"/>
    <w:basedOn w:val="aExamsubpar"/>
    <w:rsid w:val="00D17D0C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17D0C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17D0C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17D0C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17D0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17D0C"/>
    <w:pPr>
      <w:spacing w:before="60"/>
      <w:ind w:firstLine="0"/>
    </w:pPr>
  </w:style>
  <w:style w:type="paragraph" w:customStyle="1" w:styleId="aNoteParasubpar">
    <w:name w:val="aNoteParasubpar"/>
    <w:basedOn w:val="aNotesubpar"/>
    <w:rsid w:val="0024525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17D0C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17D0C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17D0C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17D0C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24525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24525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24525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17D0C"/>
  </w:style>
  <w:style w:type="paragraph" w:customStyle="1" w:styleId="SchApara">
    <w:name w:val="Sch A para"/>
    <w:basedOn w:val="Apara"/>
    <w:rsid w:val="00D17D0C"/>
  </w:style>
  <w:style w:type="paragraph" w:customStyle="1" w:styleId="SchAsubpara">
    <w:name w:val="Sch A subpara"/>
    <w:basedOn w:val="Asubpara"/>
    <w:rsid w:val="00D17D0C"/>
  </w:style>
  <w:style w:type="paragraph" w:customStyle="1" w:styleId="SchAsubsubpara">
    <w:name w:val="Sch A subsubpara"/>
    <w:basedOn w:val="Asubsubpara"/>
    <w:rsid w:val="00D17D0C"/>
  </w:style>
  <w:style w:type="paragraph" w:customStyle="1" w:styleId="TOCOL1">
    <w:name w:val="TOCOL 1"/>
    <w:basedOn w:val="TOC1"/>
    <w:rsid w:val="00D17D0C"/>
  </w:style>
  <w:style w:type="paragraph" w:customStyle="1" w:styleId="TOCOL2">
    <w:name w:val="TOCOL 2"/>
    <w:basedOn w:val="TOC2"/>
    <w:rsid w:val="00D17D0C"/>
    <w:pPr>
      <w:keepNext w:val="0"/>
    </w:pPr>
  </w:style>
  <w:style w:type="paragraph" w:customStyle="1" w:styleId="TOCOL3">
    <w:name w:val="TOCOL 3"/>
    <w:basedOn w:val="TOC3"/>
    <w:rsid w:val="00D17D0C"/>
    <w:pPr>
      <w:keepNext w:val="0"/>
    </w:pPr>
  </w:style>
  <w:style w:type="paragraph" w:customStyle="1" w:styleId="TOCOL4">
    <w:name w:val="TOCOL 4"/>
    <w:basedOn w:val="TOC4"/>
    <w:rsid w:val="00D17D0C"/>
    <w:pPr>
      <w:keepNext w:val="0"/>
    </w:pPr>
  </w:style>
  <w:style w:type="paragraph" w:customStyle="1" w:styleId="TOCOL5">
    <w:name w:val="TOCOL 5"/>
    <w:basedOn w:val="TOC5"/>
    <w:rsid w:val="00D17D0C"/>
    <w:pPr>
      <w:tabs>
        <w:tab w:val="left" w:pos="400"/>
      </w:tabs>
    </w:pPr>
  </w:style>
  <w:style w:type="paragraph" w:customStyle="1" w:styleId="TOCOL6">
    <w:name w:val="TOCOL 6"/>
    <w:basedOn w:val="TOC6"/>
    <w:rsid w:val="00D17D0C"/>
    <w:pPr>
      <w:keepNext w:val="0"/>
    </w:pPr>
  </w:style>
  <w:style w:type="paragraph" w:customStyle="1" w:styleId="TOCOL7">
    <w:name w:val="TOCOL 7"/>
    <w:basedOn w:val="TOC7"/>
    <w:rsid w:val="00D17D0C"/>
  </w:style>
  <w:style w:type="paragraph" w:customStyle="1" w:styleId="TOCOL8">
    <w:name w:val="TOCOL 8"/>
    <w:basedOn w:val="TOC8"/>
    <w:rsid w:val="00D17D0C"/>
  </w:style>
  <w:style w:type="paragraph" w:customStyle="1" w:styleId="TOCOL9">
    <w:name w:val="TOCOL 9"/>
    <w:basedOn w:val="TOC9"/>
    <w:rsid w:val="00D17D0C"/>
    <w:pPr>
      <w:ind w:right="0"/>
    </w:pPr>
  </w:style>
  <w:style w:type="paragraph" w:styleId="TOC9">
    <w:name w:val="toc 9"/>
    <w:basedOn w:val="Normal"/>
    <w:next w:val="Normal"/>
    <w:autoRedefine/>
    <w:rsid w:val="00D17D0C"/>
    <w:pPr>
      <w:ind w:left="1920" w:right="600"/>
    </w:pPr>
  </w:style>
  <w:style w:type="paragraph" w:customStyle="1" w:styleId="Billname1">
    <w:name w:val="Billname1"/>
    <w:basedOn w:val="Normal"/>
    <w:rsid w:val="00D17D0C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17D0C"/>
    <w:rPr>
      <w:sz w:val="20"/>
    </w:rPr>
  </w:style>
  <w:style w:type="paragraph" w:customStyle="1" w:styleId="TablePara10">
    <w:name w:val="TablePara10"/>
    <w:basedOn w:val="tablepara"/>
    <w:rsid w:val="00D17D0C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17D0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17D0C"/>
  </w:style>
  <w:style w:type="character" w:customStyle="1" w:styleId="charPage">
    <w:name w:val="charPage"/>
    <w:basedOn w:val="DefaultParagraphFont"/>
    <w:rsid w:val="00D17D0C"/>
  </w:style>
  <w:style w:type="character" w:styleId="PageNumber">
    <w:name w:val="page number"/>
    <w:basedOn w:val="DefaultParagraphFont"/>
    <w:rsid w:val="00D17D0C"/>
  </w:style>
  <w:style w:type="paragraph" w:customStyle="1" w:styleId="Letterhead">
    <w:name w:val="Letterhead"/>
    <w:rsid w:val="0024525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24525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24525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17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7D0C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245253"/>
  </w:style>
  <w:style w:type="character" w:customStyle="1" w:styleId="FooterChar">
    <w:name w:val="Footer Char"/>
    <w:basedOn w:val="DefaultParagraphFont"/>
    <w:link w:val="Footer"/>
    <w:rsid w:val="00D17D0C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24525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17D0C"/>
  </w:style>
  <w:style w:type="paragraph" w:customStyle="1" w:styleId="TableBullet">
    <w:name w:val="TableBullet"/>
    <w:basedOn w:val="TableText10"/>
    <w:qFormat/>
    <w:rsid w:val="00D17D0C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17D0C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17D0C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24525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24525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17D0C"/>
    <w:pPr>
      <w:numPr>
        <w:numId w:val="19"/>
      </w:numPr>
    </w:pPr>
  </w:style>
  <w:style w:type="paragraph" w:customStyle="1" w:styleId="ISchMain">
    <w:name w:val="I Sch Main"/>
    <w:basedOn w:val="BillBasic"/>
    <w:rsid w:val="00D17D0C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17D0C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17D0C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17D0C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17D0C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17D0C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17D0C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17D0C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24525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245253"/>
    <w:rPr>
      <w:sz w:val="24"/>
      <w:lang w:eastAsia="en-US"/>
    </w:rPr>
  </w:style>
  <w:style w:type="paragraph" w:customStyle="1" w:styleId="Status">
    <w:name w:val="Status"/>
    <w:basedOn w:val="Normal"/>
    <w:rsid w:val="00D17D0C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17D0C"/>
    <w:pPr>
      <w:spacing w:before="60"/>
      <w:jc w:val="center"/>
    </w:pPr>
  </w:style>
  <w:style w:type="paragraph" w:customStyle="1" w:styleId="adef0">
    <w:name w:val="adef"/>
    <w:basedOn w:val="Normal"/>
    <w:rsid w:val="003D3FE0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3D3FE0"/>
  </w:style>
  <w:style w:type="character" w:styleId="UnresolvedMention">
    <w:name w:val="Unresolved Mention"/>
    <w:basedOn w:val="DefaultParagraphFont"/>
    <w:uiPriority w:val="99"/>
    <w:semiHidden/>
    <w:unhideWhenUsed/>
    <w:rsid w:val="008D03CD"/>
    <w:rPr>
      <w:color w:val="605E5C"/>
      <w:shd w:val="clear" w:color="auto" w:fill="E1DFDD"/>
    </w:rPr>
  </w:style>
  <w:style w:type="paragraph" w:customStyle="1" w:styleId="amain0">
    <w:name w:val="amain"/>
    <w:basedOn w:val="Normal"/>
    <w:rsid w:val="00A411DE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para0">
    <w:name w:val="apara"/>
    <w:basedOn w:val="Normal"/>
    <w:rsid w:val="00A411DE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examhdgss0">
    <w:name w:val="aexamhdgss"/>
    <w:basedOn w:val="Normal"/>
    <w:rsid w:val="00A411DE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examinumss0">
    <w:name w:val="aexaminumss"/>
    <w:basedOn w:val="Normal"/>
    <w:rsid w:val="00A411DE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4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451"/>
    <w:rPr>
      <w:lang w:eastAsia="en-US"/>
    </w:rPr>
  </w:style>
  <w:style w:type="paragraph" w:customStyle="1" w:styleId="00Spine">
    <w:name w:val="00Spine"/>
    <w:basedOn w:val="Normal"/>
    <w:rsid w:val="00D17D0C"/>
  </w:style>
  <w:style w:type="paragraph" w:customStyle="1" w:styleId="05Endnote0">
    <w:name w:val="05Endnote"/>
    <w:basedOn w:val="Normal"/>
    <w:rsid w:val="00D17D0C"/>
  </w:style>
  <w:style w:type="paragraph" w:customStyle="1" w:styleId="06Copyright">
    <w:name w:val="06Copyright"/>
    <w:basedOn w:val="Normal"/>
    <w:rsid w:val="00D17D0C"/>
  </w:style>
  <w:style w:type="paragraph" w:customStyle="1" w:styleId="RepubNo">
    <w:name w:val="RepubNo"/>
    <w:basedOn w:val="BillBasicHeading"/>
    <w:rsid w:val="00D17D0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17D0C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17D0C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17D0C"/>
    <w:rPr>
      <w:rFonts w:ascii="Arial" w:hAnsi="Arial"/>
      <w:b/>
    </w:rPr>
  </w:style>
  <w:style w:type="paragraph" w:customStyle="1" w:styleId="CoverSubHdg">
    <w:name w:val="CoverSubHdg"/>
    <w:basedOn w:val="CoverHeading"/>
    <w:rsid w:val="00D17D0C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17D0C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17D0C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17D0C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17D0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17D0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17D0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17D0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17D0C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17D0C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17D0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17D0C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17D0C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17D0C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17D0C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17D0C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17D0C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17D0C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17D0C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17D0C"/>
  </w:style>
  <w:style w:type="character" w:customStyle="1" w:styleId="charTableText">
    <w:name w:val="charTableText"/>
    <w:basedOn w:val="DefaultParagraphFont"/>
    <w:rsid w:val="00D17D0C"/>
  </w:style>
  <w:style w:type="paragraph" w:customStyle="1" w:styleId="Dict-HeadingSymb">
    <w:name w:val="Dict-Heading Symb"/>
    <w:basedOn w:val="Dict-Heading"/>
    <w:rsid w:val="00D17D0C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17D0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17D0C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17D0C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17D0C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17D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17D0C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17D0C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17D0C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17D0C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17D0C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17D0C"/>
    <w:pPr>
      <w:ind w:hanging="480"/>
    </w:pPr>
  </w:style>
  <w:style w:type="paragraph" w:styleId="MacroText">
    <w:name w:val="macro"/>
    <w:link w:val="MacroTextChar"/>
    <w:semiHidden/>
    <w:rsid w:val="00D17D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17D0C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17D0C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17D0C"/>
  </w:style>
  <w:style w:type="paragraph" w:customStyle="1" w:styleId="RenumProvEntries">
    <w:name w:val="RenumProvEntries"/>
    <w:basedOn w:val="Normal"/>
    <w:rsid w:val="00D17D0C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17D0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17D0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17D0C"/>
    <w:pPr>
      <w:ind w:left="252"/>
    </w:pPr>
  </w:style>
  <w:style w:type="paragraph" w:customStyle="1" w:styleId="RenumTableHdg">
    <w:name w:val="RenumTableHdg"/>
    <w:basedOn w:val="Normal"/>
    <w:rsid w:val="00D17D0C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17D0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17D0C"/>
    <w:rPr>
      <w:b w:val="0"/>
    </w:rPr>
  </w:style>
  <w:style w:type="paragraph" w:customStyle="1" w:styleId="Sched-FormSymb">
    <w:name w:val="Sched-Form Symb"/>
    <w:basedOn w:val="Sched-Form"/>
    <w:rsid w:val="00D17D0C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17D0C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17D0C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17D0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17D0C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17D0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17D0C"/>
    <w:pPr>
      <w:ind w:firstLine="0"/>
    </w:pPr>
    <w:rPr>
      <w:b/>
    </w:rPr>
  </w:style>
  <w:style w:type="paragraph" w:customStyle="1" w:styleId="EndNoteTextPub">
    <w:name w:val="EndNoteTextPub"/>
    <w:basedOn w:val="Normal"/>
    <w:rsid w:val="00D17D0C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17D0C"/>
    <w:rPr>
      <w:szCs w:val="24"/>
    </w:rPr>
  </w:style>
  <w:style w:type="character" w:customStyle="1" w:styleId="charNotBold">
    <w:name w:val="charNotBold"/>
    <w:basedOn w:val="DefaultParagraphFont"/>
    <w:rsid w:val="00D17D0C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17D0C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17D0C"/>
    <w:pPr>
      <w:numPr>
        <w:numId w:val="3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17D0C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17D0C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17D0C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17D0C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17D0C"/>
    <w:pPr>
      <w:tabs>
        <w:tab w:val="left" w:pos="2700"/>
      </w:tabs>
      <w:spacing w:before="0"/>
    </w:pPr>
  </w:style>
  <w:style w:type="paragraph" w:customStyle="1" w:styleId="parainpara">
    <w:name w:val="para in para"/>
    <w:rsid w:val="00D17D0C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17D0C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17D0C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17D0C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17D0C"/>
    <w:rPr>
      <w:b w:val="0"/>
      <w:sz w:val="32"/>
    </w:rPr>
  </w:style>
  <w:style w:type="paragraph" w:customStyle="1" w:styleId="MH1Chapter">
    <w:name w:val="M H1 Chapter"/>
    <w:basedOn w:val="AH1Chapter"/>
    <w:rsid w:val="00D17D0C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17D0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17D0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17D0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17D0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17D0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17D0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17D0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17D0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17D0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17D0C"/>
    <w:pPr>
      <w:ind w:left="1800"/>
    </w:pPr>
  </w:style>
  <w:style w:type="paragraph" w:customStyle="1" w:styleId="Modparareturn">
    <w:name w:val="Mod para return"/>
    <w:basedOn w:val="AparareturnSymb"/>
    <w:rsid w:val="00D17D0C"/>
    <w:pPr>
      <w:ind w:left="2300"/>
    </w:pPr>
  </w:style>
  <w:style w:type="paragraph" w:customStyle="1" w:styleId="Modsubparareturn">
    <w:name w:val="Mod subpara return"/>
    <w:basedOn w:val="AsubparareturnSymb"/>
    <w:rsid w:val="00D17D0C"/>
    <w:pPr>
      <w:ind w:left="3040"/>
    </w:pPr>
  </w:style>
  <w:style w:type="paragraph" w:customStyle="1" w:styleId="Modref">
    <w:name w:val="Mod ref"/>
    <w:basedOn w:val="refSymb"/>
    <w:rsid w:val="00D17D0C"/>
    <w:pPr>
      <w:ind w:left="1100"/>
    </w:pPr>
  </w:style>
  <w:style w:type="paragraph" w:customStyle="1" w:styleId="ModaNote">
    <w:name w:val="Mod aNote"/>
    <w:basedOn w:val="aNoteSymb"/>
    <w:rsid w:val="00D17D0C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17D0C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17D0C"/>
    <w:pPr>
      <w:ind w:left="0" w:firstLine="0"/>
    </w:pPr>
  </w:style>
  <w:style w:type="paragraph" w:customStyle="1" w:styleId="AmdtEntries">
    <w:name w:val="AmdtEntries"/>
    <w:basedOn w:val="BillBasicHeading"/>
    <w:rsid w:val="00D17D0C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17D0C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17D0C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17D0C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17D0C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17D0C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17D0C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17D0C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17D0C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17D0C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17D0C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17D0C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17D0C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17D0C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17D0C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17D0C"/>
  </w:style>
  <w:style w:type="paragraph" w:customStyle="1" w:styleId="refSymb">
    <w:name w:val="ref Symb"/>
    <w:basedOn w:val="BillBasic"/>
    <w:next w:val="Normal"/>
    <w:rsid w:val="00D17D0C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17D0C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17D0C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17D0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17D0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17D0C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17D0C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17D0C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17D0C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17D0C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17D0C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17D0C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17D0C"/>
    <w:pPr>
      <w:ind w:left="1599" w:hanging="2081"/>
    </w:pPr>
  </w:style>
  <w:style w:type="paragraph" w:customStyle="1" w:styleId="IdefsubparaSymb">
    <w:name w:val="I def subpara Symb"/>
    <w:basedOn w:val="IsubparaSymb"/>
    <w:rsid w:val="00D17D0C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17D0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17D0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17D0C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17D0C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17D0C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17D0C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17D0C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17D0C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17D0C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17D0C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17D0C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17D0C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17D0C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17D0C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17D0C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17D0C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17D0C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17D0C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17D0C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17D0C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17D0C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17D0C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17D0C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17D0C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17D0C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17D0C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17D0C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17D0C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17D0C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17D0C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17D0C"/>
  </w:style>
  <w:style w:type="paragraph" w:customStyle="1" w:styleId="PenaltyParaSymb">
    <w:name w:val="PenaltyPara Symb"/>
    <w:basedOn w:val="Normal"/>
    <w:rsid w:val="00D17D0C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17D0C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17D0C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17D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://www.legislation.act.gov.au/a/1999-4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legislation.act.gov.au/a/1999-46" TargetMode="External"/><Relationship Id="rId33" Type="http://schemas.openxmlformats.org/officeDocument/2006/relationships/hyperlink" Target="http://www.legislation.act.gov.au/" TargetMode="External"/><Relationship Id="rId38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footer" Target="foot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49" TargetMode="Externa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9-46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02-28" TargetMode="Externa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2401</Words>
  <Characters>12524</Characters>
  <Application>Microsoft Office Word</Application>
  <DocSecurity>0</DocSecurity>
  <Lines>395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and Racing Control (Code of Practice) Amendment Regulation 2022 (No )</vt:lpstr>
    </vt:vector>
  </TitlesOfParts>
  <Manager>Regulation</Manager>
  <Company>Section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and Racing Control (Code of Practice) Amendment Regulation 2022 (No )</dc:title>
  <dc:subject>Gambling and Racing Control (Code of Practice) Regulation 2002</dc:subject>
  <dc:creator>ACT Government</dc:creator>
  <cp:keywords>N01</cp:keywords>
  <dc:description>J2021-1522</dc:description>
  <cp:lastModifiedBy>PCODCS</cp:lastModifiedBy>
  <cp:revision>4</cp:revision>
  <cp:lastPrinted>2022-08-04T23:32:00Z</cp:lastPrinted>
  <dcterms:created xsi:type="dcterms:W3CDTF">2022-11-11T05:59:00Z</dcterms:created>
  <dcterms:modified xsi:type="dcterms:W3CDTF">2022-11-11T05:59:00Z</dcterms:modified>
  <cp:category>SL2022-17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Skye Ferson</vt:lpwstr>
  </property>
  <property fmtid="{D5CDD505-2E9C-101B-9397-08002B2CF9AE}" pid="4" name="DrafterEmail">
    <vt:lpwstr>Skye.Ferson@act.gov.au</vt:lpwstr>
  </property>
  <property fmtid="{D5CDD505-2E9C-101B-9397-08002B2CF9AE}" pid="5" name="DrafterPh">
    <vt:lpwstr>(02) 6205 3487</vt:lpwstr>
  </property>
  <property fmtid="{D5CDD505-2E9C-101B-9397-08002B2CF9AE}" pid="6" name="SettlerName">
    <vt:lpwstr>Clare Steller</vt:lpwstr>
  </property>
  <property fmtid="{D5CDD505-2E9C-101B-9397-08002B2CF9AE}" pid="7" name="SettlerEmail">
    <vt:lpwstr>clare.steller@act.gov.au</vt:lpwstr>
  </property>
  <property fmtid="{D5CDD505-2E9C-101B-9397-08002B2CF9AE}" pid="8" name="SettlerPh">
    <vt:lpwstr>62054731</vt:lpwstr>
  </property>
  <property fmtid="{D5CDD505-2E9C-101B-9397-08002B2CF9AE}" pid="9" name="Client">
    <vt:lpwstr>Justice and Community Safety Directorate</vt:lpwstr>
  </property>
  <property fmtid="{D5CDD505-2E9C-101B-9397-08002B2CF9AE}" pid="10" name="ClientName1">
    <vt:lpwstr>Keziah Judd</vt:lpwstr>
  </property>
  <property fmtid="{D5CDD505-2E9C-101B-9397-08002B2CF9AE}" pid="11" name="ClientEmail1">
    <vt:lpwstr>Keziah.Judd@act.gov.au</vt:lpwstr>
  </property>
  <property fmtid="{D5CDD505-2E9C-101B-9397-08002B2CF9AE}" pid="12" name="ClientPh1">
    <vt:lpwstr>62070526</vt:lpwstr>
  </property>
  <property fmtid="{D5CDD505-2E9C-101B-9397-08002B2CF9AE}" pid="13" name="ClientName2">
    <vt:lpwstr>Megan Sparke</vt:lpwstr>
  </property>
  <property fmtid="{D5CDD505-2E9C-101B-9397-08002B2CF9AE}" pid="14" name="ClientEmail2">
    <vt:lpwstr>Megan.Sparke@act.gov.au</vt:lpwstr>
  </property>
  <property fmtid="{D5CDD505-2E9C-101B-9397-08002B2CF9AE}" pid="15" name="ClientPh2">
    <vt:lpwstr>62070580</vt:lpwstr>
  </property>
  <property fmtid="{D5CDD505-2E9C-101B-9397-08002B2CF9AE}" pid="16" name="jobType">
    <vt:lpwstr>Drafting</vt:lpwstr>
  </property>
  <property fmtid="{D5CDD505-2E9C-101B-9397-08002B2CF9AE}" pid="17" name="DMSID">
    <vt:lpwstr>9943875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Gambling and Racing Control (Code of Practice) Amendment Regulation 2022 (No )</vt:lpwstr>
  </property>
  <property fmtid="{D5CDD505-2E9C-101B-9397-08002B2CF9AE}" pid="21" name="ActName">
    <vt:lpwstr>Gambling and Racing Control Act 1999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